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F8" w:rsidRDefault="008E7EF8" w:rsidP="000C2CED">
      <w:pPr>
        <w:spacing w:after="0" w:line="240" w:lineRule="auto"/>
        <w:contextualSpacing/>
        <w:rPr>
          <w:sz w:val="52"/>
          <w:szCs w:val="52"/>
        </w:rPr>
      </w:pPr>
    </w:p>
    <w:p w:rsidR="00767242" w:rsidRDefault="00767242" w:rsidP="000C2CED">
      <w:pPr>
        <w:spacing w:after="0" w:line="240" w:lineRule="auto"/>
        <w:contextualSpacing/>
        <w:jc w:val="center"/>
        <w:rPr>
          <w:sz w:val="52"/>
          <w:szCs w:val="52"/>
        </w:rPr>
      </w:pPr>
      <w:r w:rsidRPr="00646F6D">
        <w:rPr>
          <w:b/>
          <w:sz w:val="52"/>
          <w:szCs w:val="52"/>
        </w:rPr>
        <w:t>NOTAS A LOS ESTADOS FINANCIEROS</w:t>
      </w:r>
    </w:p>
    <w:p w:rsidR="006A0702" w:rsidRDefault="006A0702" w:rsidP="000C2CED">
      <w:pPr>
        <w:spacing w:after="0" w:line="240" w:lineRule="auto"/>
        <w:contextualSpacing/>
        <w:rPr>
          <w:sz w:val="52"/>
          <w:szCs w:val="52"/>
        </w:rPr>
      </w:pPr>
    </w:p>
    <w:p w:rsidR="000C2CED" w:rsidRDefault="001D4BA3" w:rsidP="001D4BA3">
      <w:pPr>
        <w:spacing w:after="0" w:line="240" w:lineRule="auto"/>
        <w:contextualSpacing/>
        <w:jc w:val="center"/>
        <w:rPr>
          <w:sz w:val="52"/>
          <w:szCs w:val="52"/>
        </w:rPr>
      </w:pPr>
      <w:r>
        <w:rPr>
          <w:noProof/>
          <w:lang w:val="en-US"/>
        </w:rPr>
        <w:drawing>
          <wp:inline distT="0" distB="0" distL="0" distR="0" wp14:anchorId="41330CE0" wp14:editId="5E81C4F7">
            <wp:extent cx="3223260" cy="2943225"/>
            <wp:effectExtent l="0" t="0" r="0" b="9525"/>
            <wp:docPr id="4" name="Imagen 4" descr="Resultado de imagen para vision del in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vision del inu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02" w:rsidRDefault="006A0702" w:rsidP="001D4BA3">
      <w:pPr>
        <w:spacing w:after="0" w:line="240" w:lineRule="auto"/>
        <w:ind w:firstLine="720"/>
        <w:contextualSpacing/>
        <w:jc w:val="center"/>
        <w:rPr>
          <w:sz w:val="52"/>
          <w:szCs w:val="52"/>
        </w:rPr>
      </w:pPr>
    </w:p>
    <w:p w:rsidR="000C2CED" w:rsidRDefault="000C2CED" w:rsidP="000C2CED">
      <w:pPr>
        <w:spacing w:after="0" w:line="240" w:lineRule="auto"/>
        <w:contextualSpacing/>
        <w:rPr>
          <w:b/>
          <w:sz w:val="36"/>
          <w:szCs w:val="36"/>
        </w:rPr>
      </w:pPr>
    </w:p>
    <w:p w:rsidR="006A0702" w:rsidRPr="009B51DB" w:rsidRDefault="006A0702" w:rsidP="000C2CED">
      <w:pPr>
        <w:spacing w:after="0" w:line="240" w:lineRule="auto"/>
        <w:contextualSpacing/>
        <w:rPr>
          <w:b/>
          <w:sz w:val="36"/>
          <w:szCs w:val="36"/>
        </w:rPr>
      </w:pPr>
      <w:r w:rsidRPr="009B51DB">
        <w:rPr>
          <w:b/>
          <w:sz w:val="36"/>
          <w:szCs w:val="36"/>
        </w:rPr>
        <w:t>Tabla de Contenido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>Reseña histórica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>Estado de Situación Financiera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>Estado de Rendimiento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>Estado de Cambio en el Patrimonio Neto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 xml:space="preserve">Estado de Flujo de Efectivo </w:t>
      </w:r>
    </w:p>
    <w:p w:rsidR="006A0702" w:rsidRPr="009B51DB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 xml:space="preserve">Estado Comparativo </w:t>
      </w:r>
    </w:p>
    <w:p w:rsidR="00127B60" w:rsidRDefault="006A0702" w:rsidP="000C2CED">
      <w:pPr>
        <w:pStyle w:val="Prrafodelista"/>
        <w:numPr>
          <w:ilvl w:val="0"/>
          <w:numId w:val="2"/>
        </w:numPr>
        <w:spacing w:after="0" w:line="240" w:lineRule="auto"/>
        <w:rPr>
          <w:b/>
          <w:sz w:val="26"/>
          <w:szCs w:val="26"/>
        </w:rPr>
      </w:pPr>
      <w:r w:rsidRPr="009B51DB">
        <w:rPr>
          <w:b/>
          <w:sz w:val="26"/>
          <w:szCs w:val="26"/>
        </w:rPr>
        <w:t xml:space="preserve">Anexos </w:t>
      </w:r>
    </w:p>
    <w:p w:rsidR="000C2CED" w:rsidRDefault="000C2CED" w:rsidP="000C2CED">
      <w:pPr>
        <w:spacing w:after="0" w:line="240" w:lineRule="auto"/>
        <w:contextualSpacing/>
        <w:rPr>
          <w:b/>
          <w:sz w:val="26"/>
          <w:szCs w:val="26"/>
        </w:rPr>
      </w:pPr>
    </w:p>
    <w:p w:rsidR="000C2CED" w:rsidRDefault="000C2CED" w:rsidP="000C2CED">
      <w:pPr>
        <w:spacing w:after="0" w:line="240" w:lineRule="auto"/>
        <w:contextualSpacing/>
        <w:rPr>
          <w:b/>
          <w:sz w:val="26"/>
          <w:szCs w:val="26"/>
        </w:rPr>
      </w:pPr>
    </w:p>
    <w:p w:rsidR="000C2CED" w:rsidRPr="000C2CED" w:rsidRDefault="000C2CED" w:rsidP="000C2CED">
      <w:pPr>
        <w:spacing w:after="0" w:line="240" w:lineRule="auto"/>
        <w:contextualSpacing/>
        <w:rPr>
          <w:b/>
          <w:sz w:val="26"/>
          <w:szCs w:val="26"/>
        </w:rPr>
      </w:pPr>
    </w:p>
    <w:p w:rsidR="000C2CED" w:rsidRDefault="000C2CED" w:rsidP="000C2CE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0C2CED" w:rsidRDefault="000C2CED" w:rsidP="000C2CE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0C2CED" w:rsidRDefault="000C2CED" w:rsidP="000C2CE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0C2CED" w:rsidRDefault="000C2CED" w:rsidP="000C2CE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6177D2" w:rsidRDefault="00767242" w:rsidP="000C2CE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9654C">
        <w:rPr>
          <w:b/>
          <w:sz w:val="32"/>
          <w:szCs w:val="32"/>
        </w:rPr>
        <w:lastRenderedPageBreak/>
        <w:t>NOTAS A LOS ESTADOS FINANCIEROS</w:t>
      </w:r>
    </w:p>
    <w:p w:rsidR="000C2CED" w:rsidRPr="00B9654C" w:rsidRDefault="000C2CED" w:rsidP="000C2CED">
      <w:pPr>
        <w:spacing w:after="0" w:line="240" w:lineRule="auto"/>
        <w:contextualSpacing/>
        <w:jc w:val="center"/>
        <w:rPr>
          <w:b/>
          <w:sz w:val="52"/>
          <w:szCs w:val="52"/>
        </w:rPr>
      </w:pPr>
    </w:p>
    <w:p w:rsidR="002A60AA" w:rsidRPr="00B9654C" w:rsidRDefault="006F53B0" w:rsidP="000C2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654C">
        <w:rPr>
          <w:rFonts w:ascii="Times New Roman" w:hAnsi="Times New Roman" w:cs="Times New Roman"/>
          <w:b/>
          <w:sz w:val="24"/>
          <w:szCs w:val="24"/>
        </w:rPr>
        <w:t>Nota #1 Entidad económica</w:t>
      </w:r>
    </w:p>
    <w:p w:rsidR="00DC003A" w:rsidRDefault="00022C40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b/>
          <w:sz w:val="24"/>
          <w:szCs w:val="24"/>
        </w:rPr>
        <w:t xml:space="preserve">El Instituto Nacional de la Uva </w:t>
      </w:r>
      <w:r w:rsidR="00D67513" w:rsidRPr="0035590F">
        <w:rPr>
          <w:rFonts w:ascii="Times New Roman" w:hAnsi="Times New Roman" w:cs="Times New Roman"/>
          <w:b/>
          <w:sz w:val="24"/>
          <w:szCs w:val="24"/>
        </w:rPr>
        <w:t>(INUVA</w:t>
      </w:r>
      <w:r w:rsidR="00CE0CED" w:rsidRPr="0035590F">
        <w:rPr>
          <w:rFonts w:ascii="Times New Roman" w:hAnsi="Times New Roman" w:cs="Times New Roman"/>
          <w:b/>
          <w:sz w:val="24"/>
          <w:szCs w:val="24"/>
        </w:rPr>
        <w:t>), creado</w:t>
      </w:r>
      <w:r w:rsidR="001D3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10C" w:rsidRPr="0035590F">
        <w:rPr>
          <w:rFonts w:ascii="Times New Roman" w:hAnsi="Times New Roman" w:cs="Times New Roman"/>
          <w:sz w:val="24"/>
          <w:szCs w:val="24"/>
        </w:rPr>
        <w:t xml:space="preserve">mediante la Ley 27-98 del 16 de enero de 1998, institución descentralizada con asiento en </w:t>
      </w:r>
      <w:proofErr w:type="spellStart"/>
      <w:r w:rsidR="0001010C" w:rsidRPr="0035590F">
        <w:rPr>
          <w:rFonts w:ascii="Times New Roman" w:hAnsi="Times New Roman" w:cs="Times New Roman"/>
          <w:sz w:val="24"/>
          <w:szCs w:val="24"/>
        </w:rPr>
        <w:t>Neyba</w:t>
      </w:r>
      <w:proofErr w:type="spellEnd"/>
      <w:r w:rsidR="0001010C" w:rsidRPr="0035590F">
        <w:rPr>
          <w:rFonts w:ascii="Times New Roman" w:hAnsi="Times New Roman" w:cs="Times New Roman"/>
          <w:sz w:val="24"/>
          <w:szCs w:val="24"/>
        </w:rPr>
        <w:t xml:space="preserve">, Provincia </w:t>
      </w:r>
      <w:proofErr w:type="spellStart"/>
      <w:r w:rsidR="00CE0CED" w:rsidRPr="0035590F">
        <w:rPr>
          <w:rFonts w:ascii="Times New Roman" w:hAnsi="Times New Roman" w:cs="Times New Roman"/>
          <w:sz w:val="24"/>
          <w:szCs w:val="24"/>
        </w:rPr>
        <w:t>Bahoruco</w:t>
      </w:r>
      <w:proofErr w:type="spellEnd"/>
      <w:r w:rsidR="00CE0CED" w:rsidRPr="0035590F">
        <w:rPr>
          <w:rFonts w:ascii="Times New Roman" w:hAnsi="Times New Roman" w:cs="Times New Roman"/>
          <w:sz w:val="24"/>
          <w:szCs w:val="24"/>
        </w:rPr>
        <w:t>, Republica</w:t>
      </w:r>
      <w:r w:rsidR="0001010C" w:rsidRPr="0035590F">
        <w:rPr>
          <w:rFonts w:ascii="Times New Roman" w:hAnsi="Times New Roman" w:cs="Times New Roman"/>
          <w:sz w:val="24"/>
          <w:szCs w:val="24"/>
        </w:rPr>
        <w:t xml:space="preserve"> </w:t>
      </w:r>
      <w:r w:rsidR="00CE0CED" w:rsidRPr="0035590F">
        <w:rPr>
          <w:rFonts w:ascii="Times New Roman" w:hAnsi="Times New Roman" w:cs="Times New Roman"/>
          <w:sz w:val="24"/>
          <w:szCs w:val="24"/>
        </w:rPr>
        <w:t>dominicana, supone</w:t>
      </w:r>
      <w:r w:rsidR="0001010C" w:rsidRPr="0035590F">
        <w:rPr>
          <w:rFonts w:ascii="Times New Roman" w:hAnsi="Times New Roman" w:cs="Times New Roman"/>
          <w:sz w:val="24"/>
          <w:szCs w:val="24"/>
        </w:rPr>
        <w:t xml:space="preserve"> un momento cumbre de este importante sector en la Región y el país.  </w:t>
      </w:r>
      <w:proofErr w:type="spellStart"/>
      <w:r w:rsidR="0001010C" w:rsidRPr="0035590F">
        <w:rPr>
          <w:rFonts w:ascii="Times New Roman" w:hAnsi="Times New Roman" w:cs="Times New Roman"/>
          <w:sz w:val="24"/>
          <w:szCs w:val="24"/>
        </w:rPr>
        <w:t>Neyba</w:t>
      </w:r>
      <w:proofErr w:type="spellEnd"/>
      <w:r w:rsidR="0001010C" w:rsidRPr="0035590F">
        <w:rPr>
          <w:rFonts w:ascii="Times New Roman" w:hAnsi="Times New Roman" w:cs="Times New Roman"/>
          <w:sz w:val="24"/>
          <w:szCs w:val="24"/>
        </w:rPr>
        <w:t xml:space="preserve"> conocida</w:t>
      </w:r>
      <w:r w:rsidR="00DC003A" w:rsidRPr="0035590F">
        <w:rPr>
          <w:rFonts w:ascii="Times New Roman" w:hAnsi="Times New Roman" w:cs="Times New Roman"/>
          <w:sz w:val="24"/>
          <w:szCs w:val="24"/>
        </w:rPr>
        <w:t xml:space="preserve"> como la Ciudad y Capital de la Uva, es la capital de la provincia de </w:t>
      </w:r>
      <w:proofErr w:type="spellStart"/>
      <w:r w:rsidR="00DC003A" w:rsidRPr="0035590F">
        <w:rPr>
          <w:rFonts w:ascii="Times New Roman" w:hAnsi="Times New Roman" w:cs="Times New Roman"/>
          <w:sz w:val="24"/>
          <w:szCs w:val="24"/>
        </w:rPr>
        <w:t>Bahoruco</w:t>
      </w:r>
      <w:proofErr w:type="spellEnd"/>
      <w:r w:rsidR="00DC003A" w:rsidRPr="0035590F">
        <w:rPr>
          <w:rFonts w:ascii="Times New Roman" w:hAnsi="Times New Roman" w:cs="Times New Roman"/>
          <w:sz w:val="24"/>
          <w:szCs w:val="24"/>
        </w:rPr>
        <w:t xml:space="preserve"> en el valle del mismo nombre, en el suroeste de la República Dominicana y se encuentra a 180 kilómetros al oeste de la capital nacional, Santo Domingo, cerca de la orilla del lago Enriquillo, el lago más grande del Caribe.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Pr="0035590F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0F">
        <w:rPr>
          <w:rFonts w:ascii="Times New Roman" w:hAnsi="Times New Roman" w:cs="Times New Roman"/>
          <w:b/>
          <w:sz w:val="24"/>
          <w:szCs w:val="24"/>
        </w:rPr>
        <w:t>Histo</w:t>
      </w:r>
      <w:r w:rsidR="001D3D63">
        <w:rPr>
          <w:rFonts w:ascii="Times New Roman" w:hAnsi="Times New Roman" w:cs="Times New Roman"/>
          <w:b/>
          <w:sz w:val="24"/>
          <w:szCs w:val="24"/>
        </w:rPr>
        <w:t xml:space="preserve">ria del cultivo de la uva en </w:t>
      </w:r>
      <w:proofErr w:type="spellStart"/>
      <w:r w:rsidR="001D3D63">
        <w:rPr>
          <w:rFonts w:ascii="Times New Roman" w:hAnsi="Times New Roman" w:cs="Times New Roman"/>
          <w:b/>
          <w:sz w:val="24"/>
          <w:szCs w:val="24"/>
        </w:rPr>
        <w:t>Ney</w:t>
      </w:r>
      <w:r w:rsidRPr="0035590F">
        <w:rPr>
          <w:rFonts w:ascii="Times New Roman" w:hAnsi="Times New Roman" w:cs="Times New Roman"/>
          <w:b/>
          <w:sz w:val="24"/>
          <w:szCs w:val="24"/>
        </w:rPr>
        <w:t>ba</w:t>
      </w:r>
      <w:proofErr w:type="spellEnd"/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El cultivo de la uva en República Dominicana data de la Época Colombina, iniciándose a partir del 2º. Viaje de Cristóbal Colon a la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Hispaniola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 o Santo Domingo. Sin embargo, la segunda etapa es en el 1938 durante la dictadura de Rafael </w:t>
      </w:r>
      <w:r w:rsidR="001D3D63" w:rsidRPr="0035590F">
        <w:rPr>
          <w:rFonts w:ascii="Times New Roman" w:hAnsi="Times New Roman" w:cs="Times New Roman"/>
          <w:sz w:val="24"/>
          <w:szCs w:val="24"/>
        </w:rPr>
        <w:t>Leónidas</w:t>
      </w:r>
      <w:r w:rsidRPr="0035590F">
        <w:rPr>
          <w:rFonts w:ascii="Times New Roman" w:hAnsi="Times New Roman" w:cs="Times New Roman"/>
          <w:sz w:val="24"/>
          <w:szCs w:val="24"/>
        </w:rPr>
        <w:t xml:space="preserve"> Trujillo que se hicieron los primeros esfuerzos en la Prov</w:t>
      </w:r>
      <w:r w:rsidR="00DC003A" w:rsidRPr="0035590F">
        <w:rPr>
          <w:rFonts w:ascii="Times New Roman" w:hAnsi="Times New Roman" w:cs="Times New Roman"/>
          <w:sz w:val="24"/>
          <w:szCs w:val="24"/>
        </w:rPr>
        <w:t>incia</w:t>
      </w:r>
      <w:r w:rsidR="001D3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Bahoruco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 para desarrollar el cultivo. Para esto se trajo al Señor José Santo, en donde el mismo empoderó a los cultivadores de uva de ese entonces, donde se introdujeron variedades como: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Aramón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, Málaga, Cabernet, </w:t>
      </w:r>
      <w:r w:rsidR="00B11989" w:rsidRPr="0035590F">
        <w:rPr>
          <w:rFonts w:ascii="Times New Roman" w:hAnsi="Times New Roman" w:cs="Times New Roman"/>
          <w:sz w:val="24"/>
          <w:szCs w:val="24"/>
        </w:rPr>
        <w:t>entre otras.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En el 1957 Trujillo contrata, vía la Organización de las Naciones Unidas para la Alimentación (FAO), al Dr. Manuel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Telles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Vasconsello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, de nacionalidad </w:t>
      </w:r>
      <w:r w:rsidR="000D7202" w:rsidRPr="0035590F">
        <w:rPr>
          <w:rFonts w:ascii="Times New Roman" w:hAnsi="Times New Roman" w:cs="Times New Roman"/>
          <w:sz w:val="24"/>
          <w:szCs w:val="24"/>
        </w:rPr>
        <w:t>portuguesa</w:t>
      </w:r>
      <w:r w:rsidRPr="0035590F">
        <w:rPr>
          <w:rFonts w:ascii="Times New Roman" w:hAnsi="Times New Roman" w:cs="Times New Roman"/>
          <w:sz w:val="24"/>
          <w:szCs w:val="24"/>
        </w:rPr>
        <w:t xml:space="preserve"> para dirigir las investigaciones de adaptación de nuevas variedades, trayéndose otras 57 con las que se comprobó la potencialidad de est</w:t>
      </w:r>
      <w:r w:rsidR="00B11989" w:rsidRPr="0035590F">
        <w:rPr>
          <w:rFonts w:ascii="Times New Roman" w:hAnsi="Times New Roman" w:cs="Times New Roman"/>
          <w:sz w:val="24"/>
          <w:szCs w:val="24"/>
        </w:rPr>
        <w:t xml:space="preserve">e cultivo en el Valle de </w:t>
      </w:r>
      <w:proofErr w:type="spellStart"/>
      <w:r w:rsidR="00B11989" w:rsidRPr="0035590F">
        <w:rPr>
          <w:rFonts w:ascii="Times New Roman" w:hAnsi="Times New Roman" w:cs="Times New Roman"/>
          <w:sz w:val="24"/>
          <w:szCs w:val="24"/>
        </w:rPr>
        <w:t>Neyba</w:t>
      </w:r>
      <w:proofErr w:type="spellEnd"/>
      <w:r w:rsidR="00B11989" w:rsidRPr="0035590F">
        <w:rPr>
          <w:rFonts w:ascii="Times New Roman" w:hAnsi="Times New Roman" w:cs="Times New Roman"/>
          <w:sz w:val="24"/>
          <w:szCs w:val="24"/>
        </w:rPr>
        <w:t>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>Durante los inicios de la década del 60, es cuando el cultivo se populariza en la población y la uva era sembrada de forma ornamental más que comercial, ya que la forma de siembra (Enramada) facilitaba esta condición, fruto del alto follaje de las plantas, favorecidas por las con</w:t>
      </w:r>
      <w:r w:rsidR="00B11989" w:rsidRPr="0035590F">
        <w:rPr>
          <w:rFonts w:ascii="Times New Roman" w:hAnsi="Times New Roman" w:cs="Times New Roman"/>
          <w:sz w:val="24"/>
          <w:szCs w:val="24"/>
        </w:rPr>
        <w:t>diciones climáticas y de suelo.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En el 1967 la Embajada de Israel apoya de manera directa el cultivo de </w:t>
      </w:r>
      <w:r w:rsidR="00DC003A" w:rsidRPr="0035590F">
        <w:rPr>
          <w:rFonts w:ascii="Times New Roman" w:hAnsi="Times New Roman" w:cs="Times New Roman"/>
          <w:sz w:val="24"/>
          <w:szCs w:val="24"/>
        </w:rPr>
        <w:t xml:space="preserve">la uva en la Provincia </w:t>
      </w:r>
      <w:proofErr w:type="spellStart"/>
      <w:r w:rsidR="00DC003A" w:rsidRPr="0035590F">
        <w:rPr>
          <w:rFonts w:ascii="Times New Roman" w:hAnsi="Times New Roman" w:cs="Times New Roman"/>
          <w:sz w:val="24"/>
          <w:szCs w:val="24"/>
        </w:rPr>
        <w:t>Bahoruco</w:t>
      </w:r>
      <w:proofErr w:type="spellEnd"/>
      <w:r w:rsidR="00DC003A" w:rsidRPr="0035590F">
        <w:rPr>
          <w:rFonts w:ascii="Times New Roman" w:hAnsi="Times New Roman" w:cs="Times New Roman"/>
          <w:sz w:val="24"/>
          <w:szCs w:val="24"/>
        </w:rPr>
        <w:t>.</w:t>
      </w:r>
      <w:r w:rsidRPr="0035590F">
        <w:rPr>
          <w:rFonts w:ascii="Times New Roman" w:hAnsi="Times New Roman" w:cs="Times New Roman"/>
          <w:sz w:val="24"/>
          <w:szCs w:val="24"/>
        </w:rPr>
        <w:t xml:space="preserve"> Durante el penúltimo año de gobierno del Dr. Balaguer (1977), este prohibió la importación de uva, para proteger e i</w:t>
      </w:r>
      <w:r w:rsidR="00DC003A" w:rsidRPr="0035590F">
        <w:rPr>
          <w:rFonts w:ascii="Times New Roman" w:hAnsi="Times New Roman" w:cs="Times New Roman"/>
          <w:sz w:val="24"/>
          <w:szCs w:val="24"/>
        </w:rPr>
        <w:t xml:space="preserve">ncentivar este naciente sector; siendo </w:t>
      </w:r>
      <w:r w:rsidR="00D449FB" w:rsidRPr="0035590F">
        <w:rPr>
          <w:rFonts w:ascii="Times New Roman" w:hAnsi="Times New Roman" w:cs="Times New Roman"/>
          <w:sz w:val="24"/>
          <w:szCs w:val="24"/>
        </w:rPr>
        <w:t>la etapa</w:t>
      </w:r>
      <w:r w:rsidRPr="0035590F">
        <w:rPr>
          <w:rFonts w:ascii="Times New Roman" w:hAnsi="Times New Roman" w:cs="Times New Roman"/>
          <w:sz w:val="24"/>
          <w:szCs w:val="24"/>
        </w:rPr>
        <w:t xml:space="preserve"> cumbre en el cultivo de la uva, </w:t>
      </w:r>
      <w:r w:rsidR="00DC003A" w:rsidRPr="0035590F">
        <w:rPr>
          <w:rFonts w:ascii="Times New Roman" w:hAnsi="Times New Roman" w:cs="Times New Roman"/>
          <w:sz w:val="24"/>
          <w:szCs w:val="24"/>
        </w:rPr>
        <w:t>a principios del 90</w:t>
      </w:r>
      <w:r w:rsidR="001B0DED">
        <w:rPr>
          <w:rFonts w:ascii="Times New Roman" w:hAnsi="Times New Roman" w:cs="Times New Roman"/>
          <w:sz w:val="24"/>
          <w:szCs w:val="24"/>
        </w:rPr>
        <w:t xml:space="preserve"> </w:t>
      </w:r>
      <w:r w:rsidR="00DC003A" w:rsidRPr="0035590F">
        <w:rPr>
          <w:rFonts w:ascii="Times New Roman" w:hAnsi="Times New Roman" w:cs="Times New Roman"/>
          <w:sz w:val="24"/>
          <w:szCs w:val="24"/>
        </w:rPr>
        <w:t xml:space="preserve">en donde el </w:t>
      </w:r>
      <w:proofErr w:type="spellStart"/>
      <w:r w:rsidR="00DC003A" w:rsidRPr="0035590F">
        <w:rPr>
          <w:rFonts w:ascii="Times New Roman" w:hAnsi="Times New Roman" w:cs="Times New Roman"/>
          <w:sz w:val="24"/>
          <w:szCs w:val="24"/>
        </w:rPr>
        <w:t>tareaje</w:t>
      </w:r>
      <w:proofErr w:type="spellEnd"/>
      <w:r w:rsidR="00DC003A" w:rsidRPr="0035590F">
        <w:rPr>
          <w:rFonts w:ascii="Times New Roman" w:hAnsi="Times New Roman" w:cs="Times New Roman"/>
          <w:sz w:val="24"/>
          <w:szCs w:val="24"/>
        </w:rPr>
        <w:t xml:space="preserve"> fue más alto</w:t>
      </w:r>
      <w:r w:rsidR="00B11989" w:rsidRPr="0035590F">
        <w:rPr>
          <w:rFonts w:ascii="Times New Roman" w:hAnsi="Times New Roman" w:cs="Times New Roman"/>
          <w:sz w:val="24"/>
          <w:szCs w:val="24"/>
        </w:rPr>
        <w:t>. En est</w:t>
      </w:r>
      <w:r w:rsidR="001B0DED">
        <w:rPr>
          <w:rFonts w:ascii="Times New Roman" w:hAnsi="Times New Roman" w:cs="Times New Roman"/>
          <w:sz w:val="24"/>
          <w:szCs w:val="24"/>
        </w:rPr>
        <w:t xml:space="preserve">a </w:t>
      </w:r>
      <w:r w:rsidR="00B11989" w:rsidRPr="0035590F">
        <w:rPr>
          <w:rFonts w:ascii="Times New Roman" w:hAnsi="Times New Roman" w:cs="Times New Roman"/>
          <w:sz w:val="24"/>
          <w:szCs w:val="24"/>
        </w:rPr>
        <w:t xml:space="preserve">llega el Proyecto FIDA III (Fondo Internacional para el Desarrollo Agrícola) y se contrata al </w:t>
      </w:r>
      <w:r w:rsidR="00D449FB" w:rsidRPr="0035590F">
        <w:rPr>
          <w:rFonts w:ascii="Times New Roman" w:hAnsi="Times New Roman" w:cs="Times New Roman"/>
          <w:sz w:val="24"/>
          <w:szCs w:val="24"/>
        </w:rPr>
        <w:t>enólogo Español</w:t>
      </w:r>
      <w:r w:rsidR="00B11989" w:rsidRPr="0035590F">
        <w:rPr>
          <w:rFonts w:ascii="Times New Roman" w:hAnsi="Times New Roman" w:cs="Times New Roman"/>
          <w:sz w:val="24"/>
          <w:szCs w:val="24"/>
        </w:rPr>
        <w:t xml:space="preserve"> Mariano López </w:t>
      </w:r>
      <w:r w:rsidR="00D449FB" w:rsidRPr="0035590F">
        <w:rPr>
          <w:rFonts w:ascii="Times New Roman" w:hAnsi="Times New Roman" w:cs="Times New Roman"/>
          <w:sz w:val="24"/>
          <w:szCs w:val="24"/>
        </w:rPr>
        <w:t>Arias especialista</w:t>
      </w:r>
      <w:r w:rsidR="00B11989" w:rsidRPr="0035590F">
        <w:rPr>
          <w:rFonts w:ascii="Times New Roman" w:hAnsi="Times New Roman" w:cs="Times New Roman"/>
          <w:sz w:val="24"/>
          <w:szCs w:val="24"/>
        </w:rPr>
        <w:t xml:space="preserve"> en producción de uva. 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54C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Durante esta etapa y en la actualidad se cultivan de forma experimental: La Tempranillo, Cabernet, Primitivo,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FrechColombar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, Michelle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Patiere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>, Alfonso Lavalle, Cardin</w:t>
      </w:r>
      <w:r w:rsidR="009918F5">
        <w:rPr>
          <w:rFonts w:ascii="Times New Roman" w:hAnsi="Times New Roman" w:cs="Times New Roman"/>
          <w:sz w:val="24"/>
          <w:szCs w:val="24"/>
        </w:rPr>
        <w:t xml:space="preserve">al, </w:t>
      </w:r>
      <w:proofErr w:type="spellStart"/>
      <w:r w:rsidR="009918F5">
        <w:rPr>
          <w:rFonts w:ascii="Times New Roman" w:hAnsi="Times New Roman" w:cs="Times New Roman"/>
          <w:sz w:val="24"/>
          <w:szCs w:val="24"/>
        </w:rPr>
        <w:t>Moscazo</w:t>
      </w:r>
      <w:proofErr w:type="spellEnd"/>
      <w:r w:rsidR="009918F5">
        <w:rPr>
          <w:rFonts w:ascii="Times New Roman" w:hAnsi="Times New Roman" w:cs="Times New Roman"/>
          <w:sz w:val="24"/>
          <w:szCs w:val="24"/>
        </w:rPr>
        <w:t xml:space="preserve"> de Hamburgo, </w:t>
      </w:r>
      <w:proofErr w:type="spellStart"/>
      <w:r w:rsidR="00D449FB">
        <w:rPr>
          <w:rFonts w:ascii="Times New Roman" w:hAnsi="Times New Roman" w:cs="Times New Roman"/>
          <w:sz w:val="24"/>
          <w:szCs w:val="24"/>
        </w:rPr>
        <w:t>Aramón</w:t>
      </w:r>
      <w:proofErr w:type="spellEnd"/>
      <w:r w:rsidR="00D449FB">
        <w:rPr>
          <w:rFonts w:ascii="Times New Roman" w:hAnsi="Times New Roman" w:cs="Times New Roman"/>
          <w:sz w:val="24"/>
          <w:szCs w:val="24"/>
        </w:rPr>
        <w:t xml:space="preserve"> </w:t>
      </w:r>
      <w:r w:rsidR="00D449FB" w:rsidRPr="0035590F">
        <w:rPr>
          <w:rFonts w:ascii="Times New Roman" w:hAnsi="Times New Roman" w:cs="Times New Roman"/>
          <w:sz w:val="24"/>
          <w:szCs w:val="24"/>
        </w:rPr>
        <w:t>Importada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54C" w:rsidRPr="0035590F">
        <w:rPr>
          <w:rFonts w:ascii="Times New Roman" w:hAnsi="Times New Roman" w:cs="Times New Roman"/>
          <w:sz w:val="24"/>
          <w:szCs w:val="24"/>
        </w:rPr>
        <w:t>Sultanina</w:t>
      </w:r>
      <w:proofErr w:type="spellEnd"/>
      <w:r w:rsidR="00B9654C" w:rsidRPr="0035590F">
        <w:rPr>
          <w:rFonts w:ascii="Times New Roman" w:hAnsi="Times New Roman" w:cs="Times New Roman"/>
          <w:sz w:val="24"/>
          <w:szCs w:val="24"/>
        </w:rPr>
        <w:t xml:space="preserve">, Italia, etc. 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Pr="0035590F" w:rsidRDefault="00767242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Con </w:t>
      </w:r>
      <w:r w:rsidR="008E7EF8" w:rsidRPr="0035590F">
        <w:rPr>
          <w:rFonts w:ascii="Times New Roman" w:hAnsi="Times New Roman" w:cs="Times New Roman"/>
          <w:sz w:val="24"/>
          <w:szCs w:val="24"/>
        </w:rPr>
        <w:t xml:space="preserve">119 productores </w:t>
      </w:r>
      <w:r w:rsidR="000D7202" w:rsidRPr="0035590F">
        <w:rPr>
          <w:rFonts w:ascii="Times New Roman" w:hAnsi="Times New Roman" w:cs="Times New Roman"/>
          <w:sz w:val="24"/>
          <w:szCs w:val="24"/>
        </w:rPr>
        <w:t>que cultivan</w:t>
      </w:r>
      <w:r w:rsidRPr="0035590F">
        <w:rPr>
          <w:rFonts w:ascii="Times New Roman" w:hAnsi="Times New Roman" w:cs="Times New Roman"/>
          <w:sz w:val="24"/>
          <w:szCs w:val="24"/>
        </w:rPr>
        <w:t xml:space="preserve"> unas 2,500 tareas y </w:t>
      </w:r>
      <w:r w:rsidR="008E7EF8" w:rsidRPr="0035590F">
        <w:rPr>
          <w:rFonts w:ascii="Times New Roman" w:hAnsi="Times New Roman" w:cs="Times New Roman"/>
          <w:sz w:val="24"/>
          <w:szCs w:val="24"/>
        </w:rPr>
        <w:t>cuya producción es de 40,000 Quintales por año, donde el 85</w:t>
      </w:r>
      <w:r w:rsidR="000D7202" w:rsidRPr="0035590F">
        <w:rPr>
          <w:rFonts w:ascii="Times New Roman" w:hAnsi="Times New Roman" w:cs="Times New Roman"/>
          <w:sz w:val="24"/>
          <w:szCs w:val="24"/>
        </w:rPr>
        <w:t>% se</w:t>
      </w:r>
      <w:r w:rsidR="008E7EF8" w:rsidRPr="0035590F">
        <w:rPr>
          <w:rFonts w:ascii="Times New Roman" w:hAnsi="Times New Roman" w:cs="Times New Roman"/>
          <w:sz w:val="24"/>
          <w:szCs w:val="24"/>
        </w:rPr>
        <w:t xml:space="preserve"> destina al consumo y el 15</w:t>
      </w:r>
      <w:r w:rsidRPr="0035590F">
        <w:rPr>
          <w:rFonts w:ascii="Times New Roman" w:hAnsi="Times New Roman" w:cs="Times New Roman"/>
          <w:sz w:val="24"/>
          <w:szCs w:val="24"/>
        </w:rPr>
        <w:t>%</w:t>
      </w:r>
      <w:r w:rsidR="008E7EF8" w:rsidRPr="0035590F">
        <w:rPr>
          <w:rFonts w:ascii="Times New Roman" w:hAnsi="Times New Roman" w:cs="Times New Roman"/>
          <w:sz w:val="24"/>
          <w:szCs w:val="24"/>
        </w:rPr>
        <w:t xml:space="preserve"> restante para la elaboración de vino. La variedad cultivada es la </w:t>
      </w:r>
      <w:r w:rsidR="000D7202" w:rsidRPr="0035590F">
        <w:rPr>
          <w:rFonts w:ascii="Times New Roman" w:hAnsi="Times New Roman" w:cs="Times New Roman"/>
          <w:sz w:val="24"/>
          <w:szCs w:val="24"/>
        </w:rPr>
        <w:t>Arañón</w:t>
      </w:r>
      <w:r w:rsidR="008E7EF8" w:rsidRPr="0035590F">
        <w:rPr>
          <w:rFonts w:ascii="Times New Roman" w:hAnsi="Times New Roman" w:cs="Times New Roman"/>
          <w:sz w:val="24"/>
          <w:szCs w:val="24"/>
        </w:rPr>
        <w:t xml:space="preserve"> Criolla, siendo la misma una mutación de la Vid y que esta variedad no es de Mesa y mucho menos de Vino. Solo </w:t>
      </w:r>
      <w:r w:rsidR="00B9654C" w:rsidRPr="0035590F">
        <w:rPr>
          <w:rFonts w:ascii="Times New Roman" w:hAnsi="Times New Roman" w:cs="Times New Roman"/>
          <w:sz w:val="24"/>
          <w:szCs w:val="24"/>
        </w:rPr>
        <w:t>existe en República Dominicana.</w:t>
      </w: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lastRenderedPageBreak/>
        <w:t xml:space="preserve">Los municipios dedicados a la siembra son: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Neyba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>, Galván, Los Ríos y la sección de Plaza Cacique (La Colonia).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 Se</w:t>
      </w:r>
      <w:r w:rsidRPr="0035590F">
        <w:rPr>
          <w:rFonts w:ascii="Times New Roman" w:hAnsi="Times New Roman" w:cs="Times New Roman"/>
          <w:sz w:val="24"/>
          <w:szCs w:val="24"/>
        </w:rPr>
        <w:t xml:space="preserve"> pro</w:t>
      </w:r>
      <w:r w:rsidR="00B9654C" w:rsidRPr="0035590F">
        <w:rPr>
          <w:rFonts w:ascii="Times New Roman" w:hAnsi="Times New Roman" w:cs="Times New Roman"/>
          <w:sz w:val="24"/>
          <w:szCs w:val="24"/>
        </w:rPr>
        <w:t>median unas 10 tareas (</w:t>
      </w:r>
      <w:proofErr w:type="spellStart"/>
      <w:r w:rsidR="00B9654C" w:rsidRPr="0035590F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B9654C" w:rsidRPr="0035590F">
        <w:rPr>
          <w:rFonts w:ascii="Times New Roman" w:hAnsi="Times New Roman" w:cs="Times New Roman"/>
          <w:sz w:val="24"/>
          <w:szCs w:val="24"/>
        </w:rPr>
        <w:t xml:space="preserve">) que </w:t>
      </w:r>
      <w:r w:rsidRPr="0035590F">
        <w:rPr>
          <w:rFonts w:ascii="Times New Roman" w:hAnsi="Times New Roman" w:cs="Times New Roman"/>
          <w:sz w:val="24"/>
          <w:szCs w:val="24"/>
        </w:rPr>
        <w:t xml:space="preserve">benefician directa e indirectamente 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a </w:t>
      </w:r>
      <w:r w:rsidRPr="0035590F">
        <w:rPr>
          <w:rFonts w:ascii="Times New Roman" w:hAnsi="Times New Roman" w:cs="Times New Roman"/>
          <w:sz w:val="24"/>
          <w:szCs w:val="24"/>
        </w:rPr>
        <w:t>más de 500 familias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 xml:space="preserve">El establecimiento del </w:t>
      </w:r>
      <w:r w:rsidR="0052787C" w:rsidRPr="0035590F">
        <w:rPr>
          <w:rFonts w:ascii="Times New Roman" w:hAnsi="Times New Roman" w:cs="Times New Roman"/>
          <w:sz w:val="24"/>
          <w:szCs w:val="24"/>
        </w:rPr>
        <w:t>Clúster</w:t>
      </w:r>
      <w:r w:rsidRPr="0035590F">
        <w:rPr>
          <w:rFonts w:ascii="Times New Roman" w:hAnsi="Times New Roman" w:cs="Times New Roman"/>
          <w:sz w:val="24"/>
          <w:szCs w:val="24"/>
        </w:rPr>
        <w:t xml:space="preserve"> de la Uva, 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conformado </w:t>
      </w:r>
      <w:r w:rsidR="00284C72" w:rsidRPr="0035590F">
        <w:rPr>
          <w:rFonts w:ascii="Times New Roman" w:hAnsi="Times New Roman" w:cs="Times New Roman"/>
          <w:sz w:val="24"/>
          <w:szCs w:val="24"/>
        </w:rPr>
        <w:t>por la</w:t>
      </w:r>
      <w:r w:rsidRPr="0035590F">
        <w:rPr>
          <w:rFonts w:ascii="Times New Roman" w:hAnsi="Times New Roman" w:cs="Times New Roman"/>
          <w:sz w:val="24"/>
          <w:szCs w:val="24"/>
        </w:rPr>
        <w:t xml:space="preserve"> Cooperativa de V</w:t>
      </w:r>
      <w:r w:rsidR="001D3D63">
        <w:rPr>
          <w:rFonts w:ascii="Times New Roman" w:hAnsi="Times New Roman" w:cs="Times New Roman"/>
          <w:sz w:val="24"/>
          <w:szCs w:val="24"/>
        </w:rPr>
        <w:t xml:space="preserve">itivinicultores del Valle de </w:t>
      </w:r>
      <w:proofErr w:type="spellStart"/>
      <w:r w:rsidR="001D3D63">
        <w:rPr>
          <w:rFonts w:ascii="Times New Roman" w:hAnsi="Times New Roman" w:cs="Times New Roman"/>
          <w:sz w:val="24"/>
          <w:szCs w:val="24"/>
        </w:rPr>
        <w:t>Ney</w:t>
      </w:r>
      <w:r w:rsidRPr="0035590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 (COOPEVINE), VINEYBA, entre otras instituciones. La creación del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 xml:space="preserve"> de la Uva, contempló la realización de un Estudio de Línea Base,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 partiendo de</w:t>
      </w:r>
      <w:r w:rsidRPr="0035590F">
        <w:rPr>
          <w:rFonts w:ascii="Times New Roman" w:hAnsi="Times New Roman" w:cs="Times New Roman"/>
          <w:sz w:val="24"/>
          <w:szCs w:val="24"/>
        </w:rPr>
        <w:t xml:space="preserve"> la necesidad de introducir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 una variedad de Uvas de Mesas; </w:t>
      </w:r>
      <w:r w:rsidRPr="0035590F">
        <w:rPr>
          <w:rFonts w:ascii="Times New Roman" w:hAnsi="Times New Roman" w:cs="Times New Roman"/>
          <w:sz w:val="24"/>
          <w:szCs w:val="24"/>
        </w:rPr>
        <w:t xml:space="preserve">en </w:t>
      </w:r>
      <w:r w:rsidR="00B9654C" w:rsidRPr="0035590F">
        <w:rPr>
          <w:rFonts w:ascii="Times New Roman" w:hAnsi="Times New Roman" w:cs="Times New Roman"/>
          <w:sz w:val="24"/>
          <w:szCs w:val="24"/>
        </w:rPr>
        <w:t xml:space="preserve">el 2016 </w:t>
      </w:r>
      <w:r w:rsidRPr="0035590F">
        <w:rPr>
          <w:rFonts w:ascii="Times New Roman" w:hAnsi="Times New Roman" w:cs="Times New Roman"/>
          <w:sz w:val="24"/>
          <w:szCs w:val="24"/>
        </w:rPr>
        <w:t xml:space="preserve">plantaron 4400 matas de una nueva variedad de uva denominada “Red </w:t>
      </w:r>
      <w:proofErr w:type="spellStart"/>
      <w:r w:rsidRPr="0035590F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Pr="0035590F">
        <w:rPr>
          <w:rFonts w:ascii="Times New Roman" w:hAnsi="Times New Roman" w:cs="Times New Roman"/>
          <w:sz w:val="24"/>
          <w:szCs w:val="24"/>
        </w:rPr>
        <w:t>” o Globo Rojo, procedente de Perú.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EF8" w:rsidRDefault="008E7EF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90F">
        <w:rPr>
          <w:rFonts w:ascii="Times New Roman" w:hAnsi="Times New Roman" w:cs="Times New Roman"/>
          <w:sz w:val="24"/>
          <w:szCs w:val="24"/>
        </w:rPr>
        <w:t>La producción es de 35 a 40 mil quintales de Uvas por año, realizándose dos cosechan al año, junio-julio y noviembre-diciembre.</w:t>
      </w:r>
    </w:p>
    <w:p w:rsidR="000C2CED" w:rsidRPr="0035590F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4F4" w:rsidRDefault="00022C40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C46">
        <w:rPr>
          <w:rFonts w:ascii="Times New Roman" w:hAnsi="Times New Roman" w:cs="Times New Roman"/>
          <w:sz w:val="24"/>
          <w:szCs w:val="24"/>
        </w:rPr>
        <w:t xml:space="preserve">El Instituto Nacional de la </w:t>
      </w:r>
      <w:r w:rsidR="00284C72" w:rsidRPr="00E31C46">
        <w:rPr>
          <w:rFonts w:ascii="Times New Roman" w:hAnsi="Times New Roman" w:cs="Times New Roman"/>
          <w:sz w:val="24"/>
          <w:szCs w:val="24"/>
        </w:rPr>
        <w:t>Uva, tiene</w:t>
      </w:r>
      <w:r w:rsidR="007149F6" w:rsidRPr="00E31C46">
        <w:rPr>
          <w:rFonts w:ascii="Times New Roman" w:hAnsi="Times New Roman" w:cs="Times New Roman"/>
          <w:sz w:val="24"/>
          <w:szCs w:val="24"/>
        </w:rPr>
        <w:t xml:space="preserve"> como</w:t>
      </w:r>
      <w:r w:rsidR="00AB42EE" w:rsidRPr="00E31C46">
        <w:rPr>
          <w:rFonts w:ascii="Times New Roman" w:hAnsi="Times New Roman" w:cs="Times New Roman"/>
          <w:sz w:val="24"/>
          <w:szCs w:val="24"/>
        </w:rPr>
        <w:t xml:space="preserve"> Misión desarrollar la vitivinicultura y el cultivo </w:t>
      </w:r>
      <w:r w:rsidR="003C0198" w:rsidRPr="00E31C46">
        <w:rPr>
          <w:rFonts w:ascii="Times New Roman" w:hAnsi="Times New Roman" w:cs="Times New Roman"/>
          <w:sz w:val="24"/>
          <w:szCs w:val="24"/>
        </w:rPr>
        <w:t>de la</w:t>
      </w:r>
      <w:r w:rsidR="00AB42EE" w:rsidRPr="00E31C46">
        <w:rPr>
          <w:rFonts w:ascii="Times New Roman" w:hAnsi="Times New Roman" w:cs="Times New Roman"/>
          <w:sz w:val="24"/>
          <w:szCs w:val="24"/>
        </w:rPr>
        <w:t xml:space="preserve"> Vid </w:t>
      </w:r>
      <w:r w:rsidR="00286A25" w:rsidRPr="00E31C46">
        <w:rPr>
          <w:rFonts w:ascii="Times New Roman" w:hAnsi="Times New Roman" w:cs="Times New Roman"/>
          <w:sz w:val="24"/>
          <w:szCs w:val="24"/>
        </w:rPr>
        <w:t xml:space="preserve">en la República Dominicana, </w:t>
      </w:r>
      <w:r w:rsidR="00AB42EE" w:rsidRPr="00E31C46">
        <w:rPr>
          <w:rFonts w:ascii="Times New Roman" w:hAnsi="Times New Roman" w:cs="Times New Roman"/>
          <w:sz w:val="24"/>
          <w:szCs w:val="24"/>
        </w:rPr>
        <w:t>fomentar</w:t>
      </w:r>
      <w:r w:rsidR="00286A25" w:rsidRPr="00E31C46">
        <w:rPr>
          <w:rFonts w:ascii="Times New Roman" w:hAnsi="Times New Roman" w:cs="Times New Roman"/>
          <w:sz w:val="24"/>
          <w:szCs w:val="24"/>
        </w:rPr>
        <w:t xml:space="preserve"> e implementarla producción </w:t>
      </w:r>
      <w:r w:rsidR="003C0198" w:rsidRPr="00E31C46">
        <w:rPr>
          <w:rFonts w:ascii="Times New Roman" w:hAnsi="Times New Roman" w:cs="Times New Roman"/>
          <w:sz w:val="24"/>
          <w:szCs w:val="24"/>
        </w:rPr>
        <w:t>y comercialización</w:t>
      </w:r>
      <w:r w:rsidR="00286A25" w:rsidRPr="00E31C46">
        <w:rPr>
          <w:rFonts w:ascii="Times New Roman" w:hAnsi="Times New Roman" w:cs="Times New Roman"/>
          <w:sz w:val="24"/>
          <w:szCs w:val="24"/>
        </w:rPr>
        <w:t xml:space="preserve"> de la uva y sus derivados, logrando </w:t>
      </w:r>
      <w:r w:rsidR="00E824F4" w:rsidRPr="00E31C46">
        <w:rPr>
          <w:rFonts w:ascii="Times New Roman" w:hAnsi="Times New Roman" w:cs="Times New Roman"/>
          <w:sz w:val="24"/>
          <w:szCs w:val="24"/>
        </w:rPr>
        <w:t>un incremento sostenible de todos los actores que se involucra en el proceso.</w:t>
      </w:r>
    </w:p>
    <w:p w:rsidR="000C2CED" w:rsidRPr="00E31C46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9F6" w:rsidRPr="00475BB1" w:rsidRDefault="00A80793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B1">
        <w:rPr>
          <w:rFonts w:ascii="Times New Roman" w:hAnsi="Times New Roman" w:cs="Times New Roman"/>
          <w:sz w:val="24"/>
          <w:szCs w:val="24"/>
        </w:rPr>
        <w:t>Su visión</w:t>
      </w:r>
      <w:r w:rsidR="00E824F4" w:rsidRPr="00475BB1">
        <w:rPr>
          <w:rFonts w:ascii="Times New Roman" w:hAnsi="Times New Roman" w:cs="Times New Roman"/>
          <w:sz w:val="24"/>
          <w:szCs w:val="24"/>
        </w:rPr>
        <w:t xml:space="preserve"> </w:t>
      </w:r>
      <w:r w:rsidR="00E31C46" w:rsidRPr="00475BB1">
        <w:rPr>
          <w:rFonts w:ascii="Times New Roman" w:hAnsi="Times New Roman" w:cs="Times New Roman"/>
          <w:sz w:val="24"/>
          <w:szCs w:val="24"/>
        </w:rPr>
        <w:t xml:space="preserve">de </w:t>
      </w:r>
      <w:r w:rsidRPr="00475BB1">
        <w:rPr>
          <w:rFonts w:ascii="Times New Roman" w:hAnsi="Times New Roman" w:cs="Times New Roman"/>
          <w:sz w:val="24"/>
          <w:szCs w:val="24"/>
        </w:rPr>
        <w:t>acompañamiento, desarrollo</w:t>
      </w:r>
      <w:r w:rsidR="00475BB1" w:rsidRPr="00475BB1">
        <w:rPr>
          <w:rFonts w:ascii="Times New Roman" w:hAnsi="Times New Roman" w:cs="Times New Roman"/>
          <w:sz w:val="24"/>
          <w:szCs w:val="24"/>
        </w:rPr>
        <w:t xml:space="preserve"> tecnológico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46" w:rsidRPr="00475BB1">
        <w:rPr>
          <w:rFonts w:ascii="Times New Roman" w:hAnsi="Times New Roman" w:cs="Times New Roman"/>
          <w:sz w:val="24"/>
          <w:szCs w:val="24"/>
        </w:rPr>
        <w:t xml:space="preserve">proyecto, </w:t>
      </w:r>
      <w:r w:rsidR="00E824F4" w:rsidRPr="00475BB1">
        <w:rPr>
          <w:rFonts w:ascii="Times New Roman" w:hAnsi="Times New Roman" w:cs="Times New Roman"/>
          <w:sz w:val="24"/>
          <w:szCs w:val="24"/>
        </w:rPr>
        <w:t xml:space="preserve">ampliar el margen </w:t>
      </w:r>
      <w:r w:rsidR="00E31C46" w:rsidRPr="00475BB1">
        <w:rPr>
          <w:rFonts w:ascii="Times New Roman" w:hAnsi="Times New Roman" w:cs="Times New Roman"/>
          <w:sz w:val="24"/>
          <w:szCs w:val="24"/>
        </w:rPr>
        <w:t xml:space="preserve">de </w:t>
      </w:r>
      <w:r w:rsidR="00E824F4" w:rsidRPr="00475BB1">
        <w:rPr>
          <w:rFonts w:ascii="Times New Roman" w:hAnsi="Times New Roman" w:cs="Times New Roman"/>
          <w:sz w:val="24"/>
          <w:szCs w:val="24"/>
        </w:rPr>
        <w:t>tarea</w:t>
      </w:r>
      <w:r w:rsidR="00E31C46" w:rsidRPr="00475BB1">
        <w:rPr>
          <w:rFonts w:ascii="Times New Roman" w:hAnsi="Times New Roman" w:cs="Times New Roman"/>
          <w:sz w:val="24"/>
          <w:szCs w:val="24"/>
        </w:rPr>
        <w:t>s</w:t>
      </w:r>
      <w:r w:rsidR="00E824F4" w:rsidRPr="00475BB1">
        <w:rPr>
          <w:rFonts w:ascii="Times New Roman" w:hAnsi="Times New Roman" w:cs="Times New Roman"/>
          <w:sz w:val="24"/>
          <w:szCs w:val="24"/>
        </w:rPr>
        <w:t xml:space="preserve"> para la siembra </w:t>
      </w:r>
      <w:r w:rsidR="00475BB1" w:rsidRPr="00475BB1">
        <w:rPr>
          <w:rFonts w:ascii="Times New Roman" w:hAnsi="Times New Roman" w:cs="Times New Roman"/>
          <w:sz w:val="24"/>
          <w:szCs w:val="24"/>
        </w:rPr>
        <w:t xml:space="preserve">o cultivo </w:t>
      </w:r>
      <w:r w:rsidR="00E824F4" w:rsidRPr="00475BB1">
        <w:rPr>
          <w:rFonts w:ascii="Times New Roman" w:hAnsi="Times New Roman" w:cs="Times New Roman"/>
          <w:sz w:val="24"/>
          <w:szCs w:val="24"/>
        </w:rPr>
        <w:t xml:space="preserve">de uvas e introducir nuevas variedades que sean competitivas tanto para vinos como para </w:t>
      </w:r>
      <w:r w:rsidRPr="00475BB1">
        <w:rPr>
          <w:rFonts w:ascii="Times New Roman" w:hAnsi="Times New Roman" w:cs="Times New Roman"/>
          <w:sz w:val="24"/>
          <w:szCs w:val="24"/>
        </w:rPr>
        <w:t>mesa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75BB1">
        <w:rPr>
          <w:rFonts w:ascii="Times New Roman" w:hAnsi="Times New Roman" w:cs="Times New Roman"/>
          <w:sz w:val="24"/>
          <w:szCs w:val="24"/>
        </w:rPr>
        <w:t>así</w:t>
      </w:r>
      <w:r w:rsidR="00475BB1" w:rsidRPr="00475BB1">
        <w:rPr>
          <w:rFonts w:ascii="Times New Roman" w:hAnsi="Times New Roman" w:cs="Times New Roman"/>
          <w:sz w:val="24"/>
          <w:szCs w:val="24"/>
        </w:rPr>
        <w:t xml:space="preserve"> como lograr la </w:t>
      </w:r>
      <w:proofErr w:type="spellStart"/>
      <w:r w:rsidR="00475BB1" w:rsidRPr="00475BB1">
        <w:rPr>
          <w:rFonts w:ascii="Times New Roman" w:hAnsi="Times New Roman" w:cs="Times New Roman"/>
          <w:sz w:val="24"/>
          <w:szCs w:val="24"/>
        </w:rPr>
        <w:t>asociatividad</w:t>
      </w:r>
      <w:proofErr w:type="spellEnd"/>
      <w:r w:rsidR="00475BB1" w:rsidRPr="00475BB1">
        <w:rPr>
          <w:rFonts w:ascii="Times New Roman" w:hAnsi="Times New Roman" w:cs="Times New Roman"/>
          <w:sz w:val="24"/>
          <w:szCs w:val="24"/>
        </w:rPr>
        <w:t xml:space="preserve"> para ser eficientes los procesos de producción y comercialización de la uva y sus derivados, logrando un </w:t>
      </w:r>
      <w:r w:rsidR="00475BB1">
        <w:rPr>
          <w:rFonts w:ascii="Times New Roman" w:hAnsi="Times New Roman" w:cs="Times New Roman"/>
          <w:sz w:val="24"/>
          <w:szCs w:val="24"/>
        </w:rPr>
        <w:t>incremento sostenible</w:t>
      </w:r>
      <w:r w:rsidR="00475BB1" w:rsidRPr="00475BB1">
        <w:rPr>
          <w:rFonts w:ascii="Times New Roman" w:hAnsi="Times New Roman" w:cs="Times New Roman"/>
          <w:sz w:val="24"/>
          <w:szCs w:val="24"/>
        </w:rPr>
        <w:t xml:space="preserve"> de los ingresos económicos </w:t>
      </w:r>
      <w:r w:rsidRPr="00475BB1">
        <w:rPr>
          <w:rFonts w:ascii="Times New Roman" w:hAnsi="Times New Roman" w:cs="Times New Roman"/>
          <w:sz w:val="24"/>
          <w:szCs w:val="24"/>
        </w:rPr>
        <w:t>en la</w:t>
      </w:r>
      <w:r w:rsidR="00475BB1" w:rsidRPr="00475BB1">
        <w:rPr>
          <w:rFonts w:ascii="Times New Roman" w:hAnsi="Times New Roman" w:cs="Times New Roman"/>
          <w:sz w:val="24"/>
          <w:szCs w:val="24"/>
        </w:rPr>
        <w:t xml:space="preserve"> cadena de valor de la uva.</w:t>
      </w:r>
    </w:p>
    <w:p w:rsidR="00475BB1" w:rsidRDefault="00475BB1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B1">
        <w:rPr>
          <w:rFonts w:ascii="Times New Roman" w:hAnsi="Times New Roman" w:cs="Times New Roman"/>
          <w:sz w:val="24"/>
          <w:szCs w:val="24"/>
        </w:rPr>
        <w:t xml:space="preserve">Sus valores, responsabilidad, transparencia, equidad, solidaridad, honestidad, </w:t>
      </w:r>
      <w:proofErr w:type="spellStart"/>
      <w:r w:rsidRPr="00475BB1">
        <w:rPr>
          <w:rFonts w:ascii="Times New Roman" w:hAnsi="Times New Roman" w:cs="Times New Roman"/>
          <w:sz w:val="24"/>
          <w:szCs w:val="24"/>
        </w:rPr>
        <w:t>asociatividad</w:t>
      </w:r>
      <w:proofErr w:type="spellEnd"/>
      <w:r w:rsidRPr="00475BB1">
        <w:rPr>
          <w:rFonts w:ascii="Times New Roman" w:hAnsi="Times New Roman" w:cs="Times New Roman"/>
          <w:sz w:val="24"/>
          <w:szCs w:val="24"/>
        </w:rPr>
        <w:t xml:space="preserve"> y respeto.</w:t>
      </w:r>
    </w:p>
    <w:p w:rsidR="000C2CED" w:rsidRPr="00475BB1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5D3" w:rsidRDefault="004B65D3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CF2">
        <w:rPr>
          <w:rFonts w:ascii="Times New Roman" w:hAnsi="Times New Roman" w:cs="Times New Roman"/>
          <w:sz w:val="24"/>
          <w:szCs w:val="24"/>
        </w:rPr>
        <w:t>A</w:t>
      </w:r>
      <w:r w:rsidR="003C0198">
        <w:rPr>
          <w:rFonts w:ascii="Times New Roman" w:hAnsi="Times New Roman" w:cs="Times New Roman"/>
          <w:sz w:val="24"/>
          <w:szCs w:val="24"/>
        </w:rPr>
        <w:t>l 31</w:t>
      </w:r>
      <w:r w:rsidRPr="00030CF2">
        <w:rPr>
          <w:rFonts w:ascii="Times New Roman" w:hAnsi="Times New Roman" w:cs="Times New Roman"/>
          <w:sz w:val="24"/>
          <w:szCs w:val="24"/>
        </w:rPr>
        <w:t xml:space="preserve"> de </w:t>
      </w:r>
      <w:r w:rsidR="009E652D">
        <w:rPr>
          <w:rFonts w:ascii="Times New Roman" w:hAnsi="Times New Roman" w:cs="Times New Roman"/>
          <w:sz w:val="24"/>
          <w:szCs w:val="24"/>
        </w:rPr>
        <w:t>diciembre del 2024</w:t>
      </w:r>
      <w:r w:rsidRPr="00030CF2">
        <w:rPr>
          <w:rFonts w:ascii="Times New Roman" w:hAnsi="Times New Roman" w:cs="Times New Roman"/>
          <w:sz w:val="24"/>
          <w:szCs w:val="24"/>
        </w:rPr>
        <w:t xml:space="preserve">, los principales funcionarios del </w:t>
      </w:r>
      <w:r w:rsidR="00030CF2" w:rsidRPr="00030CF2">
        <w:rPr>
          <w:rFonts w:ascii="Times New Roman" w:hAnsi="Times New Roman" w:cs="Times New Roman"/>
          <w:b/>
          <w:sz w:val="24"/>
          <w:szCs w:val="24"/>
        </w:rPr>
        <w:t xml:space="preserve">El Instituto Nacional de la Uva </w:t>
      </w:r>
      <w:r w:rsidRPr="00030CF2">
        <w:rPr>
          <w:rFonts w:ascii="Times New Roman" w:hAnsi="Times New Roman" w:cs="Times New Roman"/>
          <w:sz w:val="24"/>
          <w:szCs w:val="24"/>
        </w:rPr>
        <w:t>son los siguientes:</w:t>
      </w:r>
    </w:p>
    <w:p w:rsidR="000C2CED" w:rsidRPr="00AB42EE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CED" w:rsidRPr="000C2CED" w:rsidTr="000C2CED">
        <w:tc>
          <w:tcPr>
            <w:tcW w:w="9350" w:type="dxa"/>
          </w:tcPr>
          <w:p w:rsidR="000C2CED" w:rsidRPr="000C2CED" w:rsidRDefault="000C2CED" w:rsidP="00DE44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C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Nombre </w:t>
            </w:r>
          </w:p>
        </w:tc>
      </w:tr>
      <w:tr w:rsidR="000C2CED" w:rsidRPr="000C2CED" w:rsidTr="000C2CED">
        <w:tc>
          <w:tcPr>
            <w:tcW w:w="9350" w:type="dxa"/>
          </w:tcPr>
          <w:p w:rsidR="000C2CED" w:rsidRPr="000C2CED" w:rsidRDefault="000C2CED" w:rsidP="00DE4456">
            <w:pPr>
              <w:pStyle w:val="Sinespaciado"/>
              <w:contextualSpacing/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 xml:space="preserve">Ing. José Santo Manzueta </w:t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  <w:t xml:space="preserve">           Director Ejecutivo</w:t>
            </w:r>
          </w:p>
        </w:tc>
      </w:tr>
      <w:tr w:rsidR="000C2CED" w:rsidRPr="000C2CED" w:rsidTr="000C2CED">
        <w:tc>
          <w:tcPr>
            <w:tcW w:w="9350" w:type="dxa"/>
          </w:tcPr>
          <w:p w:rsidR="000C2CED" w:rsidRPr="000C2CED" w:rsidRDefault="000C2CED" w:rsidP="00DE4456">
            <w:pPr>
              <w:pStyle w:val="Sinespaciado"/>
              <w:contextualSpacing/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>Licdo. Heriberto J. Pérez</w:t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  <w:t xml:space="preserve">                        </w:t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  <w:t>Enc.Adm.  Financiera</w:t>
            </w:r>
          </w:p>
        </w:tc>
      </w:tr>
      <w:tr w:rsidR="000C2CED" w:rsidRPr="000C2CED" w:rsidTr="000C2CED">
        <w:tc>
          <w:tcPr>
            <w:tcW w:w="9350" w:type="dxa"/>
          </w:tcPr>
          <w:p w:rsidR="000C2CED" w:rsidRPr="000C2CED" w:rsidRDefault="000C2CED" w:rsidP="00DE4456">
            <w:pPr>
              <w:pStyle w:val="Sinespaciado"/>
              <w:contextualSpacing/>
              <w:rPr>
                <w:rFonts w:ascii="Times New Roman" w:hAnsi="Times New Roman" w:cs="Times New Roman"/>
                <w:sz w:val="24"/>
                <w:szCs w:val="24"/>
                <w:lang w:val="es-DO"/>
              </w:rPr>
            </w:pP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>Licda. Elisandra Matos Méndez</w:t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</w:r>
            <w:r w:rsidRPr="000C2CED">
              <w:rPr>
                <w:rFonts w:ascii="Times New Roman" w:hAnsi="Times New Roman" w:cs="Times New Roman"/>
                <w:sz w:val="24"/>
                <w:szCs w:val="24"/>
                <w:lang w:val="es-DO"/>
              </w:rPr>
              <w:tab/>
              <w:t>Contadora General</w:t>
            </w:r>
          </w:p>
        </w:tc>
      </w:tr>
    </w:tbl>
    <w:p w:rsidR="006A0702" w:rsidRDefault="006A0702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3B0" w:rsidRPr="00646F6D" w:rsidRDefault="006C6B2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 xml:space="preserve">Nota #2 Base de presentación </w:t>
      </w:r>
    </w:p>
    <w:p w:rsidR="006F53B0" w:rsidRDefault="006C6B2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Los Estados Financieros han sido preparados de conformidad con las Normas Internacionales de Contabilidad del Sector Público (NICSP), adoptadas por la Dirección General de Contabilidad Gubernamental de la República Dominicana (</w:t>
      </w:r>
      <w:proofErr w:type="spellStart"/>
      <w:r w:rsidRPr="00646F6D">
        <w:rPr>
          <w:rFonts w:ascii="Times New Roman" w:hAnsi="Times New Roman" w:cs="Times New Roman"/>
          <w:sz w:val="24"/>
          <w:szCs w:val="24"/>
        </w:rPr>
        <w:t>Digecog</w:t>
      </w:r>
      <w:proofErr w:type="spellEnd"/>
      <w:r w:rsidRPr="00646F6D">
        <w:rPr>
          <w:rFonts w:ascii="Times New Roman" w:hAnsi="Times New Roman" w:cs="Times New Roman"/>
          <w:sz w:val="24"/>
          <w:szCs w:val="24"/>
        </w:rPr>
        <w:t>).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B29" w:rsidRDefault="00843B5C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Instituto Nacional de la Uva de </w:t>
      </w:r>
      <w:r w:rsidR="00CE0CED">
        <w:rPr>
          <w:rFonts w:ascii="Times New Roman" w:hAnsi="Times New Roman" w:cs="Times New Roman"/>
          <w:sz w:val="24"/>
          <w:szCs w:val="24"/>
        </w:rPr>
        <w:t>la Provincia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Bahoruco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Neyba</w:t>
      </w:r>
      <w:proofErr w:type="spellEnd"/>
      <w:r w:rsidR="006C6B29" w:rsidRPr="00646F6D">
        <w:rPr>
          <w:rFonts w:ascii="Times New Roman" w:hAnsi="Times New Roman" w:cs="Times New Roman"/>
          <w:sz w:val="24"/>
          <w:szCs w:val="24"/>
        </w:rPr>
        <w:t xml:space="preserve"> presenta su presupuesto aprobado según la base contable de efectivo y los Estados Financieros </w:t>
      </w:r>
      <w:r w:rsidR="00CE0CED" w:rsidRPr="00646F6D">
        <w:rPr>
          <w:rFonts w:ascii="Times New Roman" w:hAnsi="Times New Roman" w:cs="Times New Roman"/>
          <w:sz w:val="24"/>
          <w:szCs w:val="24"/>
        </w:rPr>
        <w:t>sobre la</w:t>
      </w:r>
      <w:r w:rsidR="006C6B29" w:rsidRPr="00646F6D">
        <w:rPr>
          <w:rFonts w:ascii="Times New Roman" w:hAnsi="Times New Roman" w:cs="Times New Roman"/>
          <w:sz w:val="24"/>
          <w:szCs w:val="24"/>
        </w:rPr>
        <w:t xml:space="preserve"> base d</w:t>
      </w:r>
      <w:r w:rsidR="00A65DB9" w:rsidRPr="00646F6D">
        <w:rPr>
          <w:rFonts w:ascii="Times New Roman" w:hAnsi="Times New Roman" w:cs="Times New Roman"/>
          <w:sz w:val="24"/>
          <w:szCs w:val="24"/>
        </w:rPr>
        <w:t>e</w:t>
      </w:r>
      <w:r w:rsidR="006C6B29" w:rsidRPr="00646F6D">
        <w:rPr>
          <w:rFonts w:ascii="Times New Roman" w:hAnsi="Times New Roman" w:cs="Times New Roman"/>
          <w:sz w:val="24"/>
          <w:szCs w:val="24"/>
        </w:rPr>
        <w:t xml:space="preserve"> acumulación (o devengo) conforme a las estipulaciones d</w:t>
      </w:r>
      <w:r>
        <w:rPr>
          <w:rFonts w:ascii="Times New Roman" w:hAnsi="Times New Roman" w:cs="Times New Roman"/>
          <w:sz w:val="24"/>
          <w:szCs w:val="24"/>
        </w:rPr>
        <w:t xml:space="preserve">e las NICESP 24 “Presentación de </w:t>
      </w:r>
      <w:r w:rsidR="006C6B29" w:rsidRPr="00646F6D">
        <w:rPr>
          <w:rFonts w:ascii="Times New Roman" w:hAnsi="Times New Roman" w:cs="Times New Roman"/>
          <w:sz w:val="24"/>
          <w:szCs w:val="24"/>
        </w:rPr>
        <w:t>Información del Presupuesto en los Estados Financieros”.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B29" w:rsidRDefault="006C6B2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El presupuesto se aprueba según la base contable de efectivo siguiendo una clasificación de pago por funciones. El presupuesto aprobado cubre el periodo fiscal que va desde el 1ro</w:t>
      </w:r>
      <w:r w:rsidR="00CE0CED" w:rsidRPr="00646F6D">
        <w:rPr>
          <w:rFonts w:ascii="Times New Roman" w:hAnsi="Times New Roman" w:cs="Times New Roman"/>
          <w:sz w:val="24"/>
          <w:szCs w:val="24"/>
        </w:rPr>
        <w:t>., de</w:t>
      </w:r>
      <w:r w:rsidR="00C57154">
        <w:rPr>
          <w:rFonts w:ascii="Times New Roman" w:hAnsi="Times New Roman" w:cs="Times New Roman"/>
          <w:sz w:val="24"/>
          <w:szCs w:val="24"/>
        </w:rPr>
        <w:t xml:space="preserve"> enero hasta </w:t>
      </w:r>
      <w:r w:rsidR="00C57154">
        <w:rPr>
          <w:rFonts w:ascii="Times New Roman" w:hAnsi="Times New Roman" w:cs="Times New Roman"/>
          <w:sz w:val="24"/>
          <w:szCs w:val="24"/>
        </w:rPr>
        <w:lastRenderedPageBreak/>
        <w:t xml:space="preserve">el 31 </w:t>
      </w:r>
      <w:r w:rsidRPr="00646F6D">
        <w:rPr>
          <w:rFonts w:ascii="Times New Roman" w:hAnsi="Times New Roman" w:cs="Times New Roman"/>
          <w:sz w:val="24"/>
          <w:szCs w:val="24"/>
        </w:rPr>
        <w:t xml:space="preserve">de </w:t>
      </w:r>
      <w:r w:rsidR="00C57154">
        <w:rPr>
          <w:rFonts w:ascii="Times New Roman" w:hAnsi="Times New Roman" w:cs="Times New Roman"/>
          <w:sz w:val="24"/>
          <w:szCs w:val="24"/>
        </w:rPr>
        <w:t>diciembre</w:t>
      </w:r>
      <w:r w:rsidR="00BA2C3B">
        <w:rPr>
          <w:rFonts w:ascii="Times New Roman" w:hAnsi="Times New Roman" w:cs="Times New Roman"/>
          <w:sz w:val="24"/>
          <w:szCs w:val="24"/>
        </w:rPr>
        <w:t xml:space="preserve"> </w:t>
      </w:r>
      <w:r w:rsidRPr="00646F6D">
        <w:rPr>
          <w:rFonts w:ascii="Times New Roman" w:hAnsi="Times New Roman" w:cs="Times New Roman"/>
          <w:sz w:val="24"/>
          <w:szCs w:val="24"/>
        </w:rPr>
        <w:t xml:space="preserve">de </w:t>
      </w:r>
      <w:r w:rsidR="00BF1524" w:rsidRPr="00646F6D">
        <w:rPr>
          <w:rFonts w:ascii="Times New Roman" w:hAnsi="Times New Roman" w:cs="Times New Roman"/>
          <w:sz w:val="24"/>
          <w:szCs w:val="24"/>
        </w:rPr>
        <w:t>20</w:t>
      </w:r>
      <w:r w:rsidR="000D7202">
        <w:rPr>
          <w:rFonts w:ascii="Times New Roman" w:hAnsi="Times New Roman" w:cs="Times New Roman"/>
          <w:sz w:val="24"/>
          <w:szCs w:val="24"/>
        </w:rPr>
        <w:t>24</w:t>
      </w:r>
      <w:r w:rsidR="00BF1524">
        <w:rPr>
          <w:rFonts w:ascii="Times New Roman" w:hAnsi="Times New Roman" w:cs="Times New Roman"/>
          <w:sz w:val="24"/>
          <w:szCs w:val="24"/>
        </w:rPr>
        <w:t xml:space="preserve"> </w:t>
      </w:r>
      <w:r w:rsidR="00BF1524" w:rsidRPr="00646F6D">
        <w:rPr>
          <w:rFonts w:ascii="Times New Roman" w:hAnsi="Times New Roman" w:cs="Times New Roman"/>
          <w:sz w:val="24"/>
          <w:szCs w:val="24"/>
        </w:rPr>
        <w:t>y</w:t>
      </w:r>
      <w:r w:rsidRPr="00646F6D">
        <w:rPr>
          <w:rFonts w:ascii="Times New Roman" w:hAnsi="Times New Roman" w:cs="Times New Roman"/>
          <w:sz w:val="24"/>
          <w:szCs w:val="24"/>
        </w:rPr>
        <w:t xml:space="preserve"> es incluido como información suplementaria en los Estados Financieros y sus Notas.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7EB" w:rsidRDefault="006C6B2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La emisión y aprobación final de los Estados Financieros debe ser autorizada por e</w:t>
      </w:r>
      <w:r w:rsidR="00BA2C3B">
        <w:rPr>
          <w:rFonts w:ascii="Times New Roman" w:hAnsi="Times New Roman" w:cs="Times New Roman"/>
          <w:sz w:val="24"/>
          <w:szCs w:val="24"/>
        </w:rPr>
        <w:t>l funcionario de más alto nivel.</w:t>
      </w:r>
    </w:p>
    <w:p w:rsidR="000C2CE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789" w:rsidRPr="00646F6D" w:rsidRDefault="00D9378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 xml:space="preserve">Nota # 3 Moneda funcional y de presentación </w:t>
      </w:r>
    </w:p>
    <w:p w:rsidR="00D93789" w:rsidRDefault="00D9378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Los Estados Financieros están presentados en pesos dominicanos (RD$) moneda de curso legal en República Dominicana.</w:t>
      </w:r>
      <w:bookmarkStart w:id="0" w:name="_GoBack"/>
      <w:bookmarkEnd w:id="0"/>
    </w:p>
    <w:p w:rsidR="00DB07EB" w:rsidRPr="00646F6D" w:rsidRDefault="00DB07EB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789" w:rsidRPr="00646F6D" w:rsidRDefault="00D9378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Nota #4 Uso de estimados y Juicios</w:t>
      </w:r>
    </w:p>
    <w:p w:rsidR="00D93789" w:rsidRDefault="00D9378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La preparación de los Estados Financieros de confirmada con las NICSP, requiere que la administración realice juicios estimaciones y supuestos que afectan la aplicación de las Políticas Contable y los montos de activos, pasivos, ingresos y gastos reportados. Los resultados reales pueden diferir de estas estimaciones.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F2D" w:rsidRDefault="00D9378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Las estimaciones y supuestos relevantes son revisados regularmente, las cuales son reconocidas prospectivamente.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773" w:rsidRPr="00646F6D" w:rsidRDefault="002B1773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Medición de los valores razonables.</w:t>
      </w:r>
    </w:p>
    <w:p w:rsidR="00DB07EB" w:rsidRDefault="002B1773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La entidad cuenta con un marco de control establecido en relación con el cálculo de los valores razonables y tiene la responsabilidad general por la supervisión de todas las mediciones significativas de este, incluyendo los de Niveles 3.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E15" w:rsidRDefault="00F55E15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 xml:space="preserve">Cuando se mide el valor razonable de un activo o pasivo, </w:t>
      </w:r>
      <w:r w:rsidR="003C0198">
        <w:rPr>
          <w:rFonts w:ascii="Times New Roman" w:hAnsi="Times New Roman" w:cs="Times New Roman"/>
          <w:sz w:val="24"/>
          <w:szCs w:val="24"/>
        </w:rPr>
        <w:t xml:space="preserve">El Instituto Nacional de la Uva </w:t>
      </w:r>
      <w:r w:rsidRPr="00646F6D">
        <w:rPr>
          <w:rFonts w:ascii="Times New Roman" w:hAnsi="Times New Roman" w:cs="Times New Roman"/>
          <w:sz w:val="24"/>
          <w:szCs w:val="24"/>
        </w:rPr>
        <w:t>utiliza siempre que sea posible, precios cotizados en un mercado activo.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E15" w:rsidRDefault="00F55E15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Si el mercado para un activo o pasivo no es activo, la entidad establecerá el valor razonable utilizando una técnica de valoración. Con ésta se busca establecer cuál será el precio de una transacción realizada a la fecha de medición.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7D" w:rsidRDefault="00B63F7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Los valores se clasifican en niveles distintos dentro de una jerarquía como sigue: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7D" w:rsidRPr="00646F6D" w:rsidRDefault="00B63F7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Nivel 1: Precios (no-ajustados) en mercados activos para activos o pasivos idénticos,</w:t>
      </w:r>
    </w:p>
    <w:p w:rsidR="000C2CE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7D" w:rsidRDefault="00B63F7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Nivel 2: Datos diferentes de los precios cotizados incluidos en el Nivel 1 que sean observados para el activo o pasivo, ya sea directa (precios) o indirectamente (derivados de los precios).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7D" w:rsidRDefault="00B63F7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Nivel 3: Datos para el activo o pasivo que no se basan en datos de mercados observables (variables no observables).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F7D" w:rsidRDefault="00B57155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 xml:space="preserve">Si las variables usadas para medir el valor razonable de un activo o pasivo pueden clasificarse en niveles distintos de la jerarquía del valor </w:t>
      </w:r>
      <w:r w:rsidR="00C56DD1" w:rsidRPr="00646F6D">
        <w:rPr>
          <w:rFonts w:ascii="Times New Roman" w:hAnsi="Times New Roman" w:cs="Times New Roman"/>
          <w:sz w:val="24"/>
          <w:szCs w:val="24"/>
        </w:rPr>
        <w:t>razonable</w:t>
      </w:r>
      <w:r w:rsidRPr="00646F6D">
        <w:rPr>
          <w:rFonts w:ascii="Times New Roman" w:hAnsi="Times New Roman" w:cs="Times New Roman"/>
          <w:sz w:val="24"/>
          <w:szCs w:val="24"/>
        </w:rPr>
        <w:t xml:space="preserve">, entonces la medición se clasifica en su totalidad en el mismo nivel de la jerarquía </w:t>
      </w:r>
      <w:r w:rsidR="00C56DD1" w:rsidRPr="00646F6D">
        <w:rPr>
          <w:rFonts w:ascii="Times New Roman" w:hAnsi="Times New Roman" w:cs="Times New Roman"/>
          <w:sz w:val="24"/>
          <w:szCs w:val="24"/>
        </w:rPr>
        <w:t>que la variable de nivel más bajo que sea significativa para la medición total.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F2D" w:rsidRDefault="00A65DB9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lastRenderedPageBreak/>
        <w:t>El</w:t>
      </w:r>
      <w:r w:rsidR="00027ADD" w:rsidRPr="00027ADD">
        <w:rPr>
          <w:rFonts w:ascii="Times New Roman" w:hAnsi="Times New Roman" w:cs="Times New Roman"/>
          <w:sz w:val="24"/>
          <w:szCs w:val="24"/>
        </w:rPr>
        <w:t xml:space="preserve"> Instituto Nacional de la Uva </w:t>
      </w:r>
      <w:r w:rsidR="00F76EDA" w:rsidRPr="00646F6D">
        <w:rPr>
          <w:rFonts w:ascii="Times New Roman" w:hAnsi="Times New Roman" w:cs="Times New Roman"/>
          <w:sz w:val="24"/>
          <w:szCs w:val="24"/>
        </w:rPr>
        <w:t>reconoce las trans</w:t>
      </w:r>
      <w:r w:rsidR="00924982" w:rsidRPr="00646F6D">
        <w:rPr>
          <w:rFonts w:ascii="Times New Roman" w:hAnsi="Times New Roman" w:cs="Times New Roman"/>
          <w:sz w:val="24"/>
          <w:szCs w:val="24"/>
        </w:rPr>
        <w:t>ferencias</w:t>
      </w:r>
      <w:r w:rsidR="00F76EDA" w:rsidRPr="00646F6D">
        <w:rPr>
          <w:rFonts w:ascii="Times New Roman" w:hAnsi="Times New Roman" w:cs="Times New Roman"/>
          <w:sz w:val="24"/>
          <w:szCs w:val="24"/>
        </w:rPr>
        <w:t xml:space="preserve"> entre los niveles de la jerarquía del valor razonable al final del periodo sobre el que se informa durante el que ocurrió el cambio</w:t>
      </w:r>
      <w:r w:rsidR="00244574" w:rsidRPr="00646F6D">
        <w:rPr>
          <w:rFonts w:ascii="Times New Roman" w:hAnsi="Times New Roman" w:cs="Times New Roman"/>
          <w:sz w:val="24"/>
          <w:szCs w:val="24"/>
        </w:rPr>
        <w:t>.</w:t>
      </w:r>
    </w:p>
    <w:p w:rsidR="00215D18" w:rsidRPr="00215D18" w:rsidRDefault="00215D18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574" w:rsidRPr="00646F6D" w:rsidRDefault="00244574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 xml:space="preserve">Nota #5 Base de medición </w:t>
      </w:r>
    </w:p>
    <w:p w:rsidR="00BC2554" w:rsidRDefault="002E187B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Los Estados Financieros se elaboran sobre la base del costo histórico, a excepción de los terrenos y edificios los cuales son valuados mediante tasaciones realizadas por un experto externo.</w:t>
      </w:r>
    </w:p>
    <w:p w:rsidR="00F47926" w:rsidRDefault="00F47926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D1" w:rsidRPr="00646F6D" w:rsidRDefault="00454153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Nota#6 Resumen de Políticas Contables significativas</w:t>
      </w:r>
    </w:p>
    <w:p w:rsidR="00424302" w:rsidRPr="00646F6D" w:rsidRDefault="00424302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Aquí se detalla todo lo relacionado con las principales Políticas Contables significativas como podría ser, sin que esta enumeración se considere limitativa.</w:t>
      </w:r>
    </w:p>
    <w:p w:rsidR="00BC2554" w:rsidRDefault="00BC2554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925" w:rsidRPr="00646F6D" w:rsidRDefault="006B1925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Inventarios de materiales de oficina</w:t>
      </w:r>
    </w:p>
    <w:p w:rsidR="006B1925" w:rsidRDefault="006B1925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Indicar si la medición es al menor entre el costo y el valor neto de realización y que método de valuación utiliza</w:t>
      </w:r>
      <w:r w:rsidRPr="00646F6D">
        <w:rPr>
          <w:rFonts w:ascii="Times New Roman" w:hAnsi="Times New Roman" w:cs="Times New Roman"/>
          <w:b/>
          <w:sz w:val="24"/>
          <w:szCs w:val="24"/>
        </w:rPr>
        <w:t>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E2A" w:rsidRPr="00646F6D" w:rsidRDefault="009326C1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 xml:space="preserve">Cuentas por cobrar y por pagar </w:t>
      </w:r>
    </w:p>
    <w:p w:rsidR="009326C1" w:rsidRDefault="009326C1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>Los pasivos son reconocidos cuando se ha recibido el bien o servicio que los genera, independientemente del momento en el que se realiza el pago.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6C1" w:rsidRPr="00646F6D" w:rsidRDefault="009326C1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F6D">
        <w:rPr>
          <w:rFonts w:ascii="Times New Roman" w:hAnsi="Times New Roman" w:cs="Times New Roman"/>
          <w:sz w:val="24"/>
          <w:szCs w:val="24"/>
        </w:rPr>
        <w:t xml:space="preserve">Los pasivos son dados de baja cuando los compromisos son saldados o expira el compromiso. </w:t>
      </w:r>
    </w:p>
    <w:p w:rsidR="00A94730" w:rsidRDefault="00A94730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>Propiedad, mobiliario y equipos</w:t>
      </w:r>
    </w:p>
    <w:p w:rsidR="000C2CED" w:rsidRPr="00646F6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30" w:rsidRPr="00646F6D" w:rsidRDefault="00A94730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6D">
        <w:rPr>
          <w:rFonts w:ascii="Times New Roman" w:hAnsi="Times New Roman" w:cs="Times New Roman"/>
          <w:b/>
          <w:sz w:val="24"/>
          <w:szCs w:val="24"/>
        </w:rPr>
        <w:t xml:space="preserve">Reconocimiento y medición </w:t>
      </w:r>
    </w:p>
    <w:p w:rsidR="009110E4" w:rsidRDefault="009110E4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75B95">
        <w:rPr>
          <w:rFonts w:ascii="Times New Roman" w:hAnsi="Times New Roman" w:cs="Times New Roman"/>
          <w:sz w:val="24"/>
          <w:szCs w:val="24"/>
          <w:lang w:val="es-ES"/>
        </w:rPr>
        <w:t>Las partidas de mobiliarios y equipos son medidas al costo de adquisición menos la depreciación acumulada y pérdidas por deterioro.</w:t>
      </w:r>
    </w:p>
    <w:p w:rsidR="000C2CED" w:rsidRPr="00075B95" w:rsidRDefault="000C2CED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110E4" w:rsidRDefault="009110E4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75B95">
        <w:rPr>
          <w:rFonts w:ascii="Times New Roman" w:hAnsi="Times New Roman" w:cs="Times New Roman"/>
          <w:sz w:val="24"/>
          <w:szCs w:val="24"/>
          <w:lang w:val="es-ES"/>
        </w:rPr>
        <w:t>Si partes significativas de un elemento de mobiliarios y equipos tiene vida útil diferente, se contabiliza como elementos separados de mobiliarios y equipos.</w:t>
      </w:r>
    </w:p>
    <w:p w:rsidR="000C2CED" w:rsidRPr="00075B95" w:rsidRDefault="000C2CED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110E4" w:rsidRPr="00075B95" w:rsidRDefault="009110E4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75B95">
        <w:rPr>
          <w:rFonts w:ascii="Times New Roman" w:hAnsi="Times New Roman" w:cs="Times New Roman"/>
          <w:sz w:val="24"/>
          <w:szCs w:val="24"/>
          <w:lang w:val="es-ES"/>
        </w:rPr>
        <w:t>Cualquier ganancia o pérdida procedente de la disposición de un elemento de mobiliarios y equipos (calculada como la diferencia entre el valor obtenido de la disposición y el valor en libros del activo) se reconoce en resultados.</w:t>
      </w:r>
    </w:p>
    <w:p w:rsidR="00432624" w:rsidRDefault="00432624" w:rsidP="000C2CED">
      <w:pPr>
        <w:pStyle w:val="Sinespaciado"/>
        <w:contextualSpacing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646F6D">
        <w:rPr>
          <w:rFonts w:ascii="Times New Roman" w:hAnsi="Times New Roman" w:cs="Times New Roman"/>
          <w:b/>
          <w:sz w:val="24"/>
          <w:szCs w:val="24"/>
          <w:lang w:val="es-DO"/>
        </w:rPr>
        <w:t>Costos posteriores</w:t>
      </w:r>
    </w:p>
    <w:p w:rsidR="00027ADD" w:rsidRPr="00646F6D" w:rsidRDefault="00027ADD" w:rsidP="000C2CED">
      <w:pPr>
        <w:pStyle w:val="Sinespaciado"/>
        <w:contextualSpacing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9110E4" w:rsidRDefault="009110E4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B04C8">
        <w:rPr>
          <w:rFonts w:ascii="Times New Roman" w:hAnsi="Times New Roman" w:cs="Times New Roman"/>
          <w:sz w:val="24"/>
          <w:szCs w:val="24"/>
          <w:lang w:val="es-ES"/>
        </w:rPr>
        <w:t xml:space="preserve">Los desembolsos posteriores se capitalizan solo si es probable </w:t>
      </w:r>
      <w:r w:rsidR="00CE0CED" w:rsidRPr="00AB04C8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E0CED" w:rsidRPr="00027ADD"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027ADD" w:rsidRPr="00027AD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27ADD" w:rsidRPr="00027ADD">
        <w:rPr>
          <w:rFonts w:ascii="Times New Roman" w:hAnsi="Times New Roman" w:cs="Times New Roman"/>
          <w:sz w:val="24"/>
          <w:szCs w:val="24"/>
          <w:lang w:val="es-DO"/>
        </w:rPr>
        <w:t>Instituto Nacional de la Uva</w:t>
      </w:r>
      <w:r w:rsidRPr="00027ADD">
        <w:rPr>
          <w:rFonts w:ascii="Times New Roman" w:hAnsi="Times New Roman" w:cs="Times New Roman"/>
          <w:sz w:val="24"/>
          <w:szCs w:val="24"/>
          <w:lang w:val="es-ES"/>
        </w:rPr>
        <w:t xml:space="preserve"> reciba los beneficios económicos futuros asociados con los c</w:t>
      </w:r>
      <w:r w:rsidRPr="00AB04C8">
        <w:rPr>
          <w:rFonts w:ascii="Times New Roman" w:hAnsi="Times New Roman" w:cs="Times New Roman"/>
          <w:sz w:val="24"/>
          <w:szCs w:val="24"/>
          <w:lang w:val="es-ES"/>
        </w:rPr>
        <w:t>ostos. Las reparaciones y mantenimientos continuos se registran como gastos en resultados cuando se incurren.</w:t>
      </w:r>
    </w:p>
    <w:p w:rsidR="00215D18" w:rsidRDefault="00215D18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15D18" w:rsidRDefault="00432624" w:rsidP="000C2CED">
      <w:pPr>
        <w:pStyle w:val="Sinespaciado"/>
        <w:contextualSpacing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027ADD">
        <w:rPr>
          <w:rFonts w:ascii="Times New Roman" w:hAnsi="Times New Roman" w:cs="Times New Roman"/>
          <w:b/>
          <w:sz w:val="24"/>
          <w:szCs w:val="24"/>
          <w:lang w:val="es-DO"/>
        </w:rPr>
        <w:t>Depreciación</w:t>
      </w:r>
    </w:p>
    <w:p w:rsidR="00027ADD" w:rsidRDefault="009110E4" w:rsidP="000C2CED">
      <w:pPr>
        <w:pStyle w:val="Sinespaciado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FB2C6A">
        <w:rPr>
          <w:rFonts w:ascii="Times New Roman" w:hAnsi="Times New Roman" w:cs="Times New Roman"/>
          <w:sz w:val="24"/>
          <w:szCs w:val="24"/>
          <w:lang w:val="es-ES"/>
        </w:rPr>
        <w:t>La depreciación se calcula sobre el monto depreciable, que corresponde al costo de un activo u otro monto que se sustituye por el costo menos su valor residual.</w:t>
      </w:r>
    </w:p>
    <w:p w:rsidR="000C2CED" w:rsidRPr="00215D18" w:rsidRDefault="000C2CED" w:rsidP="000C2CED">
      <w:pPr>
        <w:pStyle w:val="Sinespaciado"/>
        <w:contextualSpacing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9110E4" w:rsidRPr="00027ADD" w:rsidRDefault="009110E4" w:rsidP="000C2CED">
      <w:pPr>
        <w:pStyle w:val="Sinespaciad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B2C6A">
        <w:rPr>
          <w:rFonts w:ascii="Times New Roman" w:hAnsi="Times New Roman" w:cs="Times New Roman"/>
          <w:sz w:val="24"/>
          <w:szCs w:val="24"/>
          <w:lang w:val="es-ES"/>
        </w:rPr>
        <w:t>La depreciación es reconocida en resultados con base en el método de línea recta sobre las vidas útiles estimadas de cada parte de una partida de mobiliarios y equipos, puesto que estas reflejan con mayor exactitud el patrón de consumo esperado de los beneficios económicos futuros relacionados con el activo.</w:t>
      </w:r>
    </w:p>
    <w:p w:rsidR="009110E4" w:rsidRPr="00FB2C6A" w:rsidRDefault="009110E4" w:rsidP="000C2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Notas a los Estados Financieros</w:t>
      </w:r>
      <w:r w:rsidR="00027ADD" w:rsidRPr="00027ADD">
        <w:rPr>
          <w:rFonts w:ascii="Times New Roman" w:hAnsi="Times New Roman" w:cs="Times New Roman"/>
          <w:b/>
          <w:sz w:val="24"/>
          <w:szCs w:val="24"/>
        </w:rPr>
        <w:t xml:space="preserve"> del Instituto Nacional de la Uva </w:t>
      </w:r>
    </w:p>
    <w:p w:rsidR="009110E4" w:rsidRDefault="009110E4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46F6D">
        <w:rPr>
          <w:color w:val="000000"/>
        </w:rPr>
        <w:t>Los elementos de mobiliarios y equipos se deprecian desde la fecha en la que estén instalados y listos para su uso o en el caso de activos construidos internamente, desde la fecha que el activo esté completado y en condiciones de ser usado.</w:t>
      </w:r>
    </w:p>
    <w:p w:rsidR="000C2CED" w:rsidRPr="00646F6D" w:rsidRDefault="000C2CED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D7535A" w:rsidRPr="00646F6D" w:rsidRDefault="009110E4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46F6D">
        <w:rPr>
          <w:color w:val="000000"/>
        </w:rPr>
        <w:t>El estimado de vidas útiles de los mobiliarios y equipos, es como sigue:</w:t>
      </w:r>
    </w:p>
    <w:p w:rsidR="009110E4" w:rsidRPr="00646F6D" w:rsidRDefault="00BC2554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9110E4" w:rsidRPr="00646F6D">
        <w:rPr>
          <w:color w:val="000000"/>
        </w:rPr>
        <w:t>Años de</w:t>
      </w:r>
    </w:p>
    <w:p w:rsidR="009110E4" w:rsidRPr="00646F6D" w:rsidRDefault="00843B5C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u w:val="single"/>
        </w:rPr>
        <w:t xml:space="preserve">       </w:t>
      </w:r>
      <w:r w:rsidR="009110E4" w:rsidRPr="00646F6D">
        <w:rPr>
          <w:color w:val="000000"/>
          <w:u w:val="single"/>
        </w:rPr>
        <w:t>Tipo de Activo</w:t>
      </w:r>
      <w:r w:rsidR="00BC2554">
        <w:rPr>
          <w:color w:val="000000"/>
        </w:rPr>
        <w:tab/>
      </w:r>
      <w:r w:rsidR="00BC2554">
        <w:rPr>
          <w:color w:val="000000"/>
        </w:rPr>
        <w:tab/>
      </w:r>
      <w:r>
        <w:rPr>
          <w:color w:val="000000"/>
        </w:rPr>
        <w:t xml:space="preserve">                  </w:t>
      </w:r>
      <w:r w:rsidR="009110E4" w:rsidRPr="00646F6D">
        <w:rPr>
          <w:color w:val="000000"/>
        </w:rPr>
        <w:t>Vida Útil</w:t>
      </w:r>
    </w:p>
    <w:p w:rsidR="009110E4" w:rsidRDefault="009110E4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46F6D">
        <w:rPr>
          <w:color w:val="000000"/>
        </w:rPr>
        <w:t xml:space="preserve">       Mobiliarios y equipos                  </w:t>
      </w:r>
      <w:r w:rsidR="00843B5C">
        <w:rPr>
          <w:color w:val="000000"/>
        </w:rPr>
        <w:t xml:space="preserve">        </w:t>
      </w:r>
      <w:r w:rsidRPr="00646F6D">
        <w:rPr>
          <w:color w:val="000000"/>
        </w:rPr>
        <w:t xml:space="preserve">  </w:t>
      </w:r>
      <w:r w:rsidR="00BC2554">
        <w:rPr>
          <w:color w:val="000000"/>
        </w:rPr>
        <w:tab/>
      </w:r>
      <w:r w:rsidRPr="00646F6D">
        <w:rPr>
          <w:color w:val="000000"/>
        </w:rPr>
        <w:t>4-10</w:t>
      </w:r>
    </w:p>
    <w:p w:rsidR="00BD1DB9" w:rsidRDefault="00082FB0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5C1280">
        <w:rPr>
          <w:color w:val="000000"/>
        </w:rPr>
        <w:t>Equipos de Transporte</w:t>
      </w:r>
      <w:r w:rsidR="005C1280">
        <w:rPr>
          <w:color w:val="000000"/>
        </w:rPr>
        <w:tab/>
      </w:r>
      <w:r w:rsidR="005C1280">
        <w:rPr>
          <w:color w:val="000000"/>
        </w:rPr>
        <w:tab/>
      </w:r>
      <w:r w:rsidR="005C1280">
        <w:rPr>
          <w:color w:val="000000"/>
        </w:rPr>
        <w:tab/>
        <w:t xml:space="preserve"> 5-20</w:t>
      </w:r>
    </w:p>
    <w:p w:rsidR="000C2CED" w:rsidRDefault="000C2CED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9110E4" w:rsidRDefault="009110E4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646F6D">
        <w:rPr>
          <w:color w:val="000000"/>
        </w:rPr>
        <w:t>Los métodos de depreciación, las vidas útiles y los valores residuales son revisados anualmente y se ajustan si es necesario.</w:t>
      </w:r>
    </w:p>
    <w:p w:rsidR="000C2CED" w:rsidRDefault="000C2CED" w:rsidP="000C2CED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DB07EB" w:rsidRPr="000C2CED" w:rsidRDefault="00DB07EB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ED">
        <w:rPr>
          <w:rFonts w:ascii="Times New Roman" w:hAnsi="Times New Roman" w:cs="Times New Roman"/>
          <w:b/>
          <w:sz w:val="24"/>
          <w:szCs w:val="24"/>
        </w:rPr>
        <w:t>Desembolsos posteriores</w:t>
      </w:r>
    </w:p>
    <w:p w:rsidR="00BD1DB9" w:rsidRDefault="0075633B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87C">
        <w:rPr>
          <w:rFonts w:ascii="Times New Roman" w:hAnsi="Times New Roman" w:cs="Times New Roman"/>
          <w:color w:val="000000"/>
          <w:sz w:val="24"/>
          <w:szCs w:val="24"/>
        </w:rPr>
        <w:t>Los desembolsos posteriores son capitalizados solo cuando aumentan los beneficios económicos futuros incorporados en el activo específico relacionado con dichos desembolsos.</w:t>
      </w:r>
    </w:p>
    <w:p w:rsidR="000C2CED" w:rsidRPr="000C2CED" w:rsidRDefault="000C2CED" w:rsidP="000C2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DB9" w:rsidRPr="000C2CED" w:rsidRDefault="00432624" w:rsidP="000C2CED">
      <w:pPr>
        <w:pStyle w:val="NormalWeb"/>
        <w:spacing w:before="0" w:beforeAutospacing="0" w:after="0" w:afterAutospacing="0"/>
        <w:contextualSpacing/>
        <w:rPr>
          <w:b/>
        </w:rPr>
      </w:pPr>
      <w:r w:rsidRPr="000C2CED">
        <w:rPr>
          <w:b/>
        </w:rPr>
        <w:t>Amortización</w:t>
      </w:r>
    </w:p>
    <w:p w:rsidR="00432624" w:rsidRDefault="00BD1DB9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  <w:r w:rsidRPr="0052787C">
        <w:rPr>
          <w:color w:val="000000"/>
        </w:rPr>
        <w:t xml:space="preserve">La amortización se calcula sobre el monto depreciable, que corresponde al costo de un </w:t>
      </w:r>
      <w:r>
        <w:rPr>
          <w:color w:val="000000"/>
        </w:rPr>
        <w:t>activo menos su valor residual.</w:t>
      </w:r>
    </w:p>
    <w:p w:rsidR="000C2CED" w:rsidRPr="00BD1DB9" w:rsidRDefault="000C2CED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</w:p>
    <w:p w:rsidR="0075633B" w:rsidRPr="0052787C" w:rsidRDefault="0075633B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  <w:r w:rsidRPr="0052787C">
        <w:rPr>
          <w:color w:val="000000"/>
        </w:rPr>
        <w:t>La amortización es reconocida en el resultado sobre la base del método de línea recta.</w:t>
      </w:r>
    </w:p>
    <w:p w:rsidR="0075633B" w:rsidRPr="0052787C" w:rsidRDefault="0075633B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  <w:r w:rsidRPr="0052787C">
        <w:rPr>
          <w:color w:val="000000"/>
        </w:rPr>
        <w:t>La vida útil estimada de las licencias, programas y software abarca un período de 5 a 10 años.</w:t>
      </w:r>
    </w:p>
    <w:p w:rsidR="0085089F" w:rsidRDefault="0075633B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  <w:r w:rsidRPr="0052787C">
        <w:rPr>
          <w:color w:val="000000"/>
        </w:rPr>
        <w:t>El método de amortización, la vida útil y el valor residual son revisados anualmente, si existe evidencia de algún cambio y se ajustan, si es necesario.</w:t>
      </w:r>
    </w:p>
    <w:p w:rsidR="00E83381" w:rsidRDefault="00E83381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</w:p>
    <w:p w:rsidR="00E83381" w:rsidRDefault="00E83381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</w:p>
    <w:p w:rsidR="00E83381" w:rsidRDefault="00E83381" w:rsidP="000C2CED">
      <w:pPr>
        <w:pStyle w:val="NormalWeb"/>
        <w:spacing w:before="0" w:beforeAutospacing="0" w:after="0" w:afterAutospacing="0"/>
        <w:contextualSpacing/>
        <w:rPr>
          <w:color w:val="000000"/>
        </w:rPr>
      </w:pPr>
    </w:p>
    <w:p w:rsidR="00F73DD7" w:rsidRDefault="00F73DD7" w:rsidP="000C2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DD7" w:rsidRDefault="00F73DD7" w:rsidP="000C2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6588" w:rsidRDefault="0080428B" w:rsidP="000C2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8B">
        <w:rPr>
          <w:rFonts w:ascii="Times New Roman" w:hAnsi="Times New Roman" w:cs="Times New Roman"/>
          <w:b/>
          <w:sz w:val="24"/>
          <w:szCs w:val="24"/>
        </w:rPr>
        <w:lastRenderedPageBreak/>
        <w:t>ANEXOS A LOS ESTADOS FINANCIEROS</w:t>
      </w:r>
    </w:p>
    <w:p w:rsidR="0080428B" w:rsidRDefault="00C57154" w:rsidP="000C2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31 DICIEMBRE</w:t>
      </w:r>
      <w:r w:rsidR="000D7202">
        <w:rPr>
          <w:rFonts w:ascii="Times New Roman" w:hAnsi="Times New Roman" w:cs="Times New Roman"/>
          <w:b/>
          <w:sz w:val="24"/>
          <w:szCs w:val="24"/>
        </w:rPr>
        <w:t xml:space="preserve">  2024</w:t>
      </w: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428B" w:rsidRDefault="0080428B" w:rsidP="000C2CED">
      <w:pPr>
        <w:spacing w:after="0"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7335" w:rsidRPr="0080428B" w:rsidRDefault="00837335" w:rsidP="000C2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37335" w:rsidRPr="0080428B" w:rsidSect="00084EE6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C4" w:rsidRDefault="00B654C4" w:rsidP="00C50ADC">
      <w:pPr>
        <w:spacing w:after="0" w:line="240" w:lineRule="auto"/>
      </w:pPr>
      <w:r>
        <w:separator/>
      </w:r>
    </w:p>
  </w:endnote>
  <w:endnote w:type="continuationSeparator" w:id="0">
    <w:p w:rsidR="00B654C4" w:rsidRDefault="00B654C4" w:rsidP="00C5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D" w:rsidRDefault="000C2CED" w:rsidP="000C2CE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AB" w:rsidRDefault="000C2CED" w:rsidP="000C2CED">
    <w:pPr>
      <w:pStyle w:val="Piedepgina"/>
      <w:jc w:val="center"/>
    </w:pPr>
    <w:r>
      <w:t xml:space="preserve">Calle Proyecto 6, Esq. Ángel Miro Santana, Las Malvinas, </w:t>
    </w:r>
    <w:proofErr w:type="spellStart"/>
    <w:r>
      <w:t>Neyba</w:t>
    </w:r>
    <w:proofErr w:type="spellEnd"/>
    <w:r>
      <w:t xml:space="preserve">, Provincia </w:t>
    </w:r>
    <w:proofErr w:type="spellStart"/>
    <w:r>
      <w:t>Bahoruco</w:t>
    </w:r>
    <w:proofErr w:type="spellEnd"/>
    <w:r>
      <w:t>, R. D. Teléfono No. (809) 527-3150,</w:t>
    </w:r>
    <w:r>
      <w:t xml:space="preserve"> </w:t>
    </w:r>
    <w:r>
      <w:t>Fax (809) 527-3184, E-mailinuvai6@hotmail.com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C4" w:rsidRDefault="00B654C4" w:rsidP="00C50ADC">
      <w:pPr>
        <w:spacing w:after="0" w:line="240" w:lineRule="auto"/>
      </w:pPr>
      <w:r>
        <w:separator/>
      </w:r>
    </w:p>
  </w:footnote>
  <w:footnote w:type="continuationSeparator" w:id="0">
    <w:p w:rsidR="00B654C4" w:rsidRDefault="00B654C4" w:rsidP="00C5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ED" w:rsidRDefault="000C2CED" w:rsidP="000C2CE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794A"/>
    <w:multiLevelType w:val="hybridMultilevel"/>
    <w:tmpl w:val="A8EC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763"/>
    <w:multiLevelType w:val="hybridMultilevel"/>
    <w:tmpl w:val="7D20C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56"/>
    <w:rsid w:val="00005D53"/>
    <w:rsid w:val="0001010C"/>
    <w:rsid w:val="00016723"/>
    <w:rsid w:val="0002107E"/>
    <w:rsid w:val="00021B54"/>
    <w:rsid w:val="00022C40"/>
    <w:rsid w:val="00022ED6"/>
    <w:rsid w:val="00024CD4"/>
    <w:rsid w:val="00027ADD"/>
    <w:rsid w:val="00030CF2"/>
    <w:rsid w:val="000329A5"/>
    <w:rsid w:val="00034669"/>
    <w:rsid w:val="0004066B"/>
    <w:rsid w:val="00041AEF"/>
    <w:rsid w:val="00046E5C"/>
    <w:rsid w:val="00047199"/>
    <w:rsid w:val="000479FC"/>
    <w:rsid w:val="00051890"/>
    <w:rsid w:val="00064265"/>
    <w:rsid w:val="00066BF8"/>
    <w:rsid w:val="00071775"/>
    <w:rsid w:val="00073698"/>
    <w:rsid w:val="00075B95"/>
    <w:rsid w:val="0007783A"/>
    <w:rsid w:val="00082FB0"/>
    <w:rsid w:val="00084EE6"/>
    <w:rsid w:val="000871CA"/>
    <w:rsid w:val="00094E52"/>
    <w:rsid w:val="00097770"/>
    <w:rsid w:val="000A0251"/>
    <w:rsid w:val="000A099C"/>
    <w:rsid w:val="000A24F0"/>
    <w:rsid w:val="000A37B0"/>
    <w:rsid w:val="000A77DD"/>
    <w:rsid w:val="000B3067"/>
    <w:rsid w:val="000B3133"/>
    <w:rsid w:val="000B7E2A"/>
    <w:rsid w:val="000C1229"/>
    <w:rsid w:val="000C238E"/>
    <w:rsid w:val="000C258D"/>
    <w:rsid w:val="000C2CED"/>
    <w:rsid w:val="000C3B78"/>
    <w:rsid w:val="000C6107"/>
    <w:rsid w:val="000C7008"/>
    <w:rsid w:val="000D1061"/>
    <w:rsid w:val="000D2153"/>
    <w:rsid w:val="000D51B2"/>
    <w:rsid w:val="000D5CDA"/>
    <w:rsid w:val="000D6712"/>
    <w:rsid w:val="000D7202"/>
    <w:rsid w:val="000E0DA1"/>
    <w:rsid w:val="000E11E8"/>
    <w:rsid w:val="000E3257"/>
    <w:rsid w:val="000E798B"/>
    <w:rsid w:val="000F2CEF"/>
    <w:rsid w:val="0010253C"/>
    <w:rsid w:val="00115BC5"/>
    <w:rsid w:val="00115BE9"/>
    <w:rsid w:val="001208E8"/>
    <w:rsid w:val="00121274"/>
    <w:rsid w:val="00121D4E"/>
    <w:rsid w:val="00127B60"/>
    <w:rsid w:val="00130EA6"/>
    <w:rsid w:val="00131B01"/>
    <w:rsid w:val="0013420E"/>
    <w:rsid w:val="00136D2D"/>
    <w:rsid w:val="00137501"/>
    <w:rsid w:val="001375DC"/>
    <w:rsid w:val="001510C5"/>
    <w:rsid w:val="00151D37"/>
    <w:rsid w:val="00152974"/>
    <w:rsid w:val="00152C05"/>
    <w:rsid w:val="0015322C"/>
    <w:rsid w:val="00156857"/>
    <w:rsid w:val="00160E43"/>
    <w:rsid w:val="00175F2B"/>
    <w:rsid w:val="00176BD8"/>
    <w:rsid w:val="00180FAD"/>
    <w:rsid w:val="00185091"/>
    <w:rsid w:val="00186674"/>
    <w:rsid w:val="0019237E"/>
    <w:rsid w:val="001A5FD5"/>
    <w:rsid w:val="001A70D7"/>
    <w:rsid w:val="001B0DED"/>
    <w:rsid w:val="001B3F0B"/>
    <w:rsid w:val="001B7686"/>
    <w:rsid w:val="001C6EC0"/>
    <w:rsid w:val="001D3D63"/>
    <w:rsid w:val="001D4BA3"/>
    <w:rsid w:val="001D551B"/>
    <w:rsid w:val="001E35D9"/>
    <w:rsid w:val="001E4511"/>
    <w:rsid w:val="001F08BE"/>
    <w:rsid w:val="001F4D27"/>
    <w:rsid w:val="001F5ABC"/>
    <w:rsid w:val="001F7FAB"/>
    <w:rsid w:val="002051C5"/>
    <w:rsid w:val="00205830"/>
    <w:rsid w:val="002106EF"/>
    <w:rsid w:val="0021113E"/>
    <w:rsid w:val="00212F55"/>
    <w:rsid w:val="00214FF8"/>
    <w:rsid w:val="00215540"/>
    <w:rsid w:val="00215D18"/>
    <w:rsid w:val="00216131"/>
    <w:rsid w:val="00231BE3"/>
    <w:rsid w:val="00233724"/>
    <w:rsid w:val="00234A93"/>
    <w:rsid w:val="00237EE6"/>
    <w:rsid w:val="00243A71"/>
    <w:rsid w:val="00244574"/>
    <w:rsid w:val="002446A5"/>
    <w:rsid w:val="0025261F"/>
    <w:rsid w:val="0025409F"/>
    <w:rsid w:val="0025503C"/>
    <w:rsid w:val="00263702"/>
    <w:rsid w:val="00284C72"/>
    <w:rsid w:val="00286A25"/>
    <w:rsid w:val="0029207D"/>
    <w:rsid w:val="00292EF8"/>
    <w:rsid w:val="002A56A3"/>
    <w:rsid w:val="002A60AA"/>
    <w:rsid w:val="002B1773"/>
    <w:rsid w:val="002B335F"/>
    <w:rsid w:val="002B3DE7"/>
    <w:rsid w:val="002B733F"/>
    <w:rsid w:val="002C5D5C"/>
    <w:rsid w:val="002C6B49"/>
    <w:rsid w:val="002D5C9B"/>
    <w:rsid w:val="002D7854"/>
    <w:rsid w:val="002E187B"/>
    <w:rsid w:val="002F454F"/>
    <w:rsid w:val="002F5C99"/>
    <w:rsid w:val="00307652"/>
    <w:rsid w:val="00307CF4"/>
    <w:rsid w:val="00310B38"/>
    <w:rsid w:val="0031477A"/>
    <w:rsid w:val="0031559C"/>
    <w:rsid w:val="00316D28"/>
    <w:rsid w:val="00323813"/>
    <w:rsid w:val="003248C3"/>
    <w:rsid w:val="00333288"/>
    <w:rsid w:val="00333384"/>
    <w:rsid w:val="003354B9"/>
    <w:rsid w:val="00337A33"/>
    <w:rsid w:val="00337C65"/>
    <w:rsid w:val="00346779"/>
    <w:rsid w:val="00352218"/>
    <w:rsid w:val="0035590F"/>
    <w:rsid w:val="003572FC"/>
    <w:rsid w:val="0036207E"/>
    <w:rsid w:val="00362822"/>
    <w:rsid w:val="00365DA1"/>
    <w:rsid w:val="003714B4"/>
    <w:rsid w:val="00372D6E"/>
    <w:rsid w:val="00373A8E"/>
    <w:rsid w:val="00374921"/>
    <w:rsid w:val="00395DC7"/>
    <w:rsid w:val="003965F6"/>
    <w:rsid w:val="003A6AC7"/>
    <w:rsid w:val="003B3D7E"/>
    <w:rsid w:val="003C0198"/>
    <w:rsid w:val="003C1C52"/>
    <w:rsid w:val="003C3D8B"/>
    <w:rsid w:val="003C6882"/>
    <w:rsid w:val="003C74D2"/>
    <w:rsid w:val="003D44C3"/>
    <w:rsid w:val="003D5F51"/>
    <w:rsid w:val="003E1287"/>
    <w:rsid w:val="003E7DF9"/>
    <w:rsid w:val="003F5023"/>
    <w:rsid w:val="003F54F5"/>
    <w:rsid w:val="003F74E4"/>
    <w:rsid w:val="00407AF3"/>
    <w:rsid w:val="004100AF"/>
    <w:rsid w:val="00411B99"/>
    <w:rsid w:val="004219FD"/>
    <w:rsid w:val="00424302"/>
    <w:rsid w:val="004301F3"/>
    <w:rsid w:val="00432624"/>
    <w:rsid w:val="004343B3"/>
    <w:rsid w:val="00447E41"/>
    <w:rsid w:val="004506E1"/>
    <w:rsid w:val="00453859"/>
    <w:rsid w:val="00453C86"/>
    <w:rsid w:val="00454153"/>
    <w:rsid w:val="004558EC"/>
    <w:rsid w:val="00455EFC"/>
    <w:rsid w:val="0045719B"/>
    <w:rsid w:val="00463101"/>
    <w:rsid w:val="00464750"/>
    <w:rsid w:val="00464E88"/>
    <w:rsid w:val="00473DE0"/>
    <w:rsid w:val="004742E9"/>
    <w:rsid w:val="004745A5"/>
    <w:rsid w:val="00475BB1"/>
    <w:rsid w:val="00476E18"/>
    <w:rsid w:val="00485A3F"/>
    <w:rsid w:val="00487901"/>
    <w:rsid w:val="00487F24"/>
    <w:rsid w:val="004A0EDC"/>
    <w:rsid w:val="004B226A"/>
    <w:rsid w:val="004B346D"/>
    <w:rsid w:val="004B3E0A"/>
    <w:rsid w:val="004B465D"/>
    <w:rsid w:val="004B476B"/>
    <w:rsid w:val="004B65D3"/>
    <w:rsid w:val="004C4271"/>
    <w:rsid w:val="004D302F"/>
    <w:rsid w:val="004D7AA4"/>
    <w:rsid w:val="004E3425"/>
    <w:rsid w:val="005160FE"/>
    <w:rsid w:val="005217F1"/>
    <w:rsid w:val="00522388"/>
    <w:rsid w:val="00525033"/>
    <w:rsid w:val="0052787C"/>
    <w:rsid w:val="00551C30"/>
    <w:rsid w:val="0055407C"/>
    <w:rsid w:val="00557363"/>
    <w:rsid w:val="00557A38"/>
    <w:rsid w:val="00561E97"/>
    <w:rsid w:val="00567CD0"/>
    <w:rsid w:val="005776E1"/>
    <w:rsid w:val="0058276F"/>
    <w:rsid w:val="005837C5"/>
    <w:rsid w:val="0058596C"/>
    <w:rsid w:val="00585992"/>
    <w:rsid w:val="00594571"/>
    <w:rsid w:val="00595716"/>
    <w:rsid w:val="005A10C7"/>
    <w:rsid w:val="005A4B80"/>
    <w:rsid w:val="005A5ABE"/>
    <w:rsid w:val="005B11F1"/>
    <w:rsid w:val="005C1280"/>
    <w:rsid w:val="005C39AE"/>
    <w:rsid w:val="005C43F0"/>
    <w:rsid w:val="005C6B79"/>
    <w:rsid w:val="005C7068"/>
    <w:rsid w:val="005D1166"/>
    <w:rsid w:val="005D28B5"/>
    <w:rsid w:val="005D2D8E"/>
    <w:rsid w:val="005D5B37"/>
    <w:rsid w:val="005D7168"/>
    <w:rsid w:val="005D77BF"/>
    <w:rsid w:val="005E09DF"/>
    <w:rsid w:val="005E22C1"/>
    <w:rsid w:val="005F7B16"/>
    <w:rsid w:val="00601753"/>
    <w:rsid w:val="00613B00"/>
    <w:rsid w:val="00616AFB"/>
    <w:rsid w:val="006177D2"/>
    <w:rsid w:val="00620811"/>
    <w:rsid w:val="00623DB4"/>
    <w:rsid w:val="00627827"/>
    <w:rsid w:val="00631EEA"/>
    <w:rsid w:val="006372F2"/>
    <w:rsid w:val="006409BF"/>
    <w:rsid w:val="00640A85"/>
    <w:rsid w:val="006425B5"/>
    <w:rsid w:val="00642AC5"/>
    <w:rsid w:val="006446A4"/>
    <w:rsid w:val="00646F6D"/>
    <w:rsid w:val="00654372"/>
    <w:rsid w:val="00663A02"/>
    <w:rsid w:val="00673E06"/>
    <w:rsid w:val="00677471"/>
    <w:rsid w:val="00694544"/>
    <w:rsid w:val="006A0702"/>
    <w:rsid w:val="006A3B27"/>
    <w:rsid w:val="006A743D"/>
    <w:rsid w:val="006B1925"/>
    <w:rsid w:val="006B3383"/>
    <w:rsid w:val="006C2973"/>
    <w:rsid w:val="006C2FF0"/>
    <w:rsid w:val="006C5089"/>
    <w:rsid w:val="006C66DE"/>
    <w:rsid w:val="006C68D1"/>
    <w:rsid w:val="006C6B29"/>
    <w:rsid w:val="006D6140"/>
    <w:rsid w:val="006D7610"/>
    <w:rsid w:val="006E0C18"/>
    <w:rsid w:val="006E2A1A"/>
    <w:rsid w:val="006E4283"/>
    <w:rsid w:val="006F162C"/>
    <w:rsid w:val="006F2B10"/>
    <w:rsid w:val="006F3283"/>
    <w:rsid w:val="006F3335"/>
    <w:rsid w:val="006F53B0"/>
    <w:rsid w:val="006F7F0F"/>
    <w:rsid w:val="00706CEB"/>
    <w:rsid w:val="00710383"/>
    <w:rsid w:val="00712377"/>
    <w:rsid w:val="00713378"/>
    <w:rsid w:val="007149F6"/>
    <w:rsid w:val="0073233D"/>
    <w:rsid w:val="007460CE"/>
    <w:rsid w:val="007523A4"/>
    <w:rsid w:val="0075633B"/>
    <w:rsid w:val="00767242"/>
    <w:rsid w:val="00767934"/>
    <w:rsid w:val="0078747B"/>
    <w:rsid w:val="00794442"/>
    <w:rsid w:val="00795CD9"/>
    <w:rsid w:val="007A6547"/>
    <w:rsid w:val="007B2C2B"/>
    <w:rsid w:val="007C793A"/>
    <w:rsid w:val="007E1688"/>
    <w:rsid w:val="007F03BA"/>
    <w:rsid w:val="007F10DE"/>
    <w:rsid w:val="007F26DE"/>
    <w:rsid w:val="007F462A"/>
    <w:rsid w:val="0080428B"/>
    <w:rsid w:val="00810A15"/>
    <w:rsid w:val="00822C85"/>
    <w:rsid w:val="00823283"/>
    <w:rsid w:val="00824E9A"/>
    <w:rsid w:val="00825D9B"/>
    <w:rsid w:val="008336CF"/>
    <w:rsid w:val="0083555F"/>
    <w:rsid w:val="00837335"/>
    <w:rsid w:val="00843B5C"/>
    <w:rsid w:val="0085089F"/>
    <w:rsid w:val="008572F0"/>
    <w:rsid w:val="00857DEB"/>
    <w:rsid w:val="00873EB5"/>
    <w:rsid w:val="00880EBE"/>
    <w:rsid w:val="00881EA0"/>
    <w:rsid w:val="0088213B"/>
    <w:rsid w:val="00886354"/>
    <w:rsid w:val="008936AB"/>
    <w:rsid w:val="00893E5B"/>
    <w:rsid w:val="00897F81"/>
    <w:rsid w:val="008A3DFD"/>
    <w:rsid w:val="008A6827"/>
    <w:rsid w:val="008B0BFB"/>
    <w:rsid w:val="008C167F"/>
    <w:rsid w:val="008C3B0E"/>
    <w:rsid w:val="008C487B"/>
    <w:rsid w:val="008C48A1"/>
    <w:rsid w:val="008C7693"/>
    <w:rsid w:val="008D794D"/>
    <w:rsid w:val="008D79AB"/>
    <w:rsid w:val="008E7EF8"/>
    <w:rsid w:val="008F0BED"/>
    <w:rsid w:val="008F3440"/>
    <w:rsid w:val="008F3C3F"/>
    <w:rsid w:val="008F605B"/>
    <w:rsid w:val="008F65AB"/>
    <w:rsid w:val="009061B7"/>
    <w:rsid w:val="009110E4"/>
    <w:rsid w:val="009177E5"/>
    <w:rsid w:val="00917FCF"/>
    <w:rsid w:val="0092097F"/>
    <w:rsid w:val="009219DA"/>
    <w:rsid w:val="00924982"/>
    <w:rsid w:val="00925889"/>
    <w:rsid w:val="0093189F"/>
    <w:rsid w:val="009326C1"/>
    <w:rsid w:val="009329BE"/>
    <w:rsid w:val="00935BE3"/>
    <w:rsid w:val="009370B2"/>
    <w:rsid w:val="009421CC"/>
    <w:rsid w:val="0094290E"/>
    <w:rsid w:val="009443B8"/>
    <w:rsid w:val="00945C79"/>
    <w:rsid w:val="00950B5B"/>
    <w:rsid w:val="00956D9D"/>
    <w:rsid w:val="00963A84"/>
    <w:rsid w:val="00975020"/>
    <w:rsid w:val="0097568C"/>
    <w:rsid w:val="009767C3"/>
    <w:rsid w:val="00983EAC"/>
    <w:rsid w:val="00984ABC"/>
    <w:rsid w:val="009918F5"/>
    <w:rsid w:val="00993356"/>
    <w:rsid w:val="009A0458"/>
    <w:rsid w:val="009A19D1"/>
    <w:rsid w:val="009B51DB"/>
    <w:rsid w:val="009B521B"/>
    <w:rsid w:val="009C254E"/>
    <w:rsid w:val="009C4F2D"/>
    <w:rsid w:val="009C66D4"/>
    <w:rsid w:val="009D2727"/>
    <w:rsid w:val="009D294E"/>
    <w:rsid w:val="009D72F5"/>
    <w:rsid w:val="009E2E75"/>
    <w:rsid w:val="009E652D"/>
    <w:rsid w:val="00A056B1"/>
    <w:rsid w:val="00A1113D"/>
    <w:rsid w:val="00A11AC3"/>
    <w:rsid w:val="00A123BF"/>
    <w:rsid w:val="00A12EC3"/>
    <w:rsid w:val="00A24117"/>
    <w:rsid w:val="00A24C1A"/>
    <w:rsid w:val="00A42FE1"/>
    <w:rsid w:val="00A47D12"/>
    <w:rsid w:val="00A50849"/>
    <w:rsid w:val="00A5152E"/>
    <w:rsid w:val="00A54C6E"/>
    <w:rsid w:val="00A56742"/>
    <w:rsid w:val="00A57200"/>
    <w:rsid w:val="00A623E0"/>
    <w:rsid w:val="00A646F2"/>
    <w:rsid w:val="00A65DB9"/>
    <w:rsid w:val="00A72C07"/>
    <w:rsid w:val="00A80793"/>
    <w:rsid w:val="00A869F7"/>
    <w:rsid w:val="00A87976"/>
    <w:rsid w:val="00A94730"/>
    <w:rsid w:val="00AA0460"/>
    <w:rsid w:val="00AB04C8"/>
    <w:rsid w:val="00AB42EE"/>
    <w:rsid w:val="00AC429B"/>
    <w:rsid w:val="00AD4D46"/>
    <w:rsid w:val="00AD529F"/>
    <w:rsid w:val="00AE0F25"/>
    <w:rsid w:val="00AE7418"/>
    <w:rsid w:val="00AF109C"/>
    <w:rsid w:val="00AF319D"/>
    <w:rsid w:val="00AF6345"/>
    <w:rsid w:val="00B108B1"/>
    <w:rsid w:val="00B10E2E"/>
    <w:rsid w:val="00B11989"/>
    <w:rsid w:val="00B17BEE"/>
    <w:rsid w:val="00B26102"/>
    <w:rsid w:val="00B30491"/>
    <w:rsid w:val="00B331F8"/>
    <w:rsid w:val="00B40554"/>
    <w:rsid w:val="00B40F56"/>
    <w:rsid w:val="00B42704"/>
    <w:rsid w:val="00B44655"/>
    <w:rsid w:val="00B4527D"/>
    <w:rsid w:val="00B459B0"/>
    <w:rsid w:val="00B52E03"/>
    <w:rsid w:val="00B53378"/>
    <w:rsid w:val="00B57155"/>
    <w:rsid w:val="00B572DB"/>
    <w:rsid w:val="00B63F7D"/>
    <w:rsid w:val="00B654C4"/>
    <w:rsid w:val="00B7052F"/>
    <w:rsid w:val="00B71DC4"/>
    <w:rsid w:val="00B75083"/>
    <w:rsid w:val="00B83B21"/>
    <w:rsid w:val="00B8412E"/>
    <w:rsid w:val="00B854F4"/>
    <w:rsid w:val="00B85C04"/>
    <w:rsid w:val="00B85E0C"/>
    <w:rsid w:val="00B87772"/>
    <w:rsid w:val="00B930CF"/>
    <w:rsid w:val="00B95872"/>
    <w:rsid w:val="00B9654C"/>
    <w:rsid w:val="00BA2604"/>
    <w:rsid w:val="00BA2C3B"/>
    <w:rsid w:val="00BA38DA"/>
    <w:rsid w:val="00BA5D75"/>
    <w:rsid w:val="00BA6577"/>
    <w:rsid w:val="00BA6708"/>
    <w:rsid w:val="00BA7350"/>
    <w:rsid w:val="00BB356B"/>
    <w:rsid w:val="00BB5357"/>
    <w:rsid w:val="00BC2554"/>
    <w:rsid w:val="00BC4000"/>
    <w:rsid w:val="00BC4BAE"/>
    <w:rsid w:val="00BC7BA0"/>
    <w:rsid w:val="00BD1DB9"/>
    <w:rsid w:val="00BD617C"/>
    <w:rsid w:val="00BD743A"/>
    <w:rsid w:val="00BE2E7F"/>
    <w:rsid w:val="00BE41BF"/>
    <w:rsid w:val="00BE522D"/>
    <w:rsid w:val="00BF1524"/>
    <w:rsid w:val="00BF1F86"/>
    <w:rsid w:val="00BF2FA8"/>
    <w:rsid w:val="00BF4556"/>
    <w:rsid w:val="00BF6862"/>
    <w:rsid w:val="00C01AFF"/>
    <w:rsid w:val="00C027E6"/>
    <w:rsid w:val="00C15CC5"/>
    <w:rsid w:val="00C16DEA"/>
    <w:rsid w:val="00C208E6"/>
    <w:rsid w:val="00C21A94"/>
    <w:rsid w:val="00C3327B"/>
    <w:rsid w:val="00C33836"/>
    <w:rsid w:val="00C377C7"/>
    <w:rsid w:val="00C37D9E"/>
    <w:rsid w:val="00C50ADC"/>
    <w:rsid w:val="00C52FE3"/>
    <w:rsid w:val="00C56C98"/>
    <w:rsid w:val="00C56DD1"/>
    <w:rsid w:val="00C57154"/>
    <w:rsid w:val="00C603B2"/>
    <w:rsid w:val="00C64116"/>
    <w:rsid w:val="00C64D5B"/>
    <w:rsid w:val="00C67FAA"/>
    <w:rsid w:val="00C717C5"/>
    <w:rsid w:val="00C71FD1"/>
    <w:rsid w:val="00C72FEB"/>
    <w:rsid w:val="00C86588"/>
    <w:rsid w:val="00C933C6"/>
    <w:rsid w:val="00C9360D"/>
    <w:rsid w:val="00C93BB8"/>
    <w:rsid w:val="00C9549B"/>
    <w:rsid w:val="00CB3E23"/>
    <w:rsid w:val="00CC2B27"/>
    <w:rsid w:val="00CC2F49"/>
    <w:rsid w:val="00CC5822"/>
    <w:rsid w:val="00CC78F0"/>
    <w:rsid w:val="00CD221A"/>
    <w:rsid w:val="00CD31DD"/>
    <w:rsid w:val="00CD41A9"/>
    <w:rsid w:val="00CD719E"/>
    <w:rsid w:val="00CE0CED"/>
    <w:rsid w:val="00CE11AE"/>
    <w:rsid w:val="00CE1EDE"/>
    <w:rsid w:val="00CF0C5D"/>
    <w:rsid w:val="00CF19A1"/>
    <w:rsid w:val="00CF6678"/>
    <w:rsid w:val="00D036C4"/>
    <w:rsid w:val="00D13987"/>
    <w:rsid w:val="00D16460"/>
    <w:rsid w:val="00D22762"/>
    <w:rsid w:val="00D23509"/>
    <w:rsid w:val="00D2664C"/>
    <w:rsid w:val="00D30134"/>
    <w:rsid w:val="00D30E66"/>
    <w:rsid w:val="00D31BBE"/>
    <w:rsid w:val="00D331F2"/>
    <w:rsid w:val="00D33E61"/>
    <w:rsid w:val="00D449FB"/>
    <w:rsid w:val="00D567C5"/>
    <w:rsid w:val="00D62AB1"/>
    <w:rsid w:val="00D67513"/>
    <w:rsid w:val="00D72A4C"/>
    <w:rsid w:val="00D73766"/>
    <w:rsid w:val="00D7535A"/>
    <w:rsid w:val="00D81599"/>
    <w:rsid w:val="00D84A10"/>
    <w:rsid w:val="00D92E4D"/>
    <w:rsid w:val="00D93789"/>
    <w:rsid w:val="00D93E6F"/>
    <w:rsid w:val="00D94085"/>
    <w:rsid w:val="00D94814"/>
    <w:rsid w:val="00DA1516"/>
    <w:rsid w:val="00DB07EB"/>
    <w:rsid w:val="00DB0C35"/>
    <w:rsid w:val="00DB56AA"/>
    <w:rsid w:val="00DB6506"/>
    <w:rsid w:val="00DB68B6"/>
    <w:rsid w:val="00DC003A"/>
    <w:rsid w:val="00DC1F6F"/>
    <w:rsid w:val="00DC4287"/>
    <w:rsid w:val="00DD20F9"/>
    <w:rsid w:val="00DD3A47"/>
    <w:rsid w:val="00DD5BEB"/>
    <w:rsid w:val="00DD78A2"/>
    <w:rsid w:val="00DE06A0"/>
    <w:rsid w:val="00DE0908"/>
    <w:rsid w:val="00DE2D70"/>
    <w:rsid w:val="00DE5F22"/>
    <w:rsid w:val="00DF59FC"/>
    <w:rsid w:val="00E02FDD"/>
    <w:rsid w:val="00E0430E"/>
    <w:rsid w:val="00E05555"/>
    <w:rsid w:val="00E07A01"/>
    <w:rsid w:val="00E160D6"/>
    <w:rsid w:val="00E25B6B"/>
    <w:rsid w:val="00E31C46"/>
    <w:rsid w:val="00E42714"/>
    <w:rsid w:val="00E564C9"/>
    <w:rsid w:val="00E6119F"/>
    <w:rsid w:val="00E62B5D"/>
    <w:rsid w:val="00E659B5"/>
    <w:rsid w:val="00E67DBD"/>
    <w:rsid w:val="00E74350"/>
    <w:rsid w:val="00E77130"/>
    <w:rsid w:val="00E824F4"/>
    <w:rsid w:val="00E83381"/>
    <w:rsid w:val="00E9668E"/>
    <w:rsid w:val="00EB1CD5"/>
    <w:rsid w:val="00EB25BB"/>
    <w:rsid w:val="00EC1C18"/>
    <w:rsid w:val="00EC5542"/>
    <w:rsid w:val="00ED5FAA"/>
    <w:rsid w:val="00EE1FF5"/>
    <w:rsid w:val="00EE23FB"/>
    <w:rsid w:val="00EE2500"/>
    <w:rsid w:val="00EE4988"/>
    <w:rsid w:val="00EE6661"/>
    <w:rsid w:val="00EF15A4"/>
    <w:rsid w:val="00EF4B7C"/>
    <w:rsid w:val="00EF4E7F"/>
    <w:rsid w:val="00EF758D"/>
    <w:rsid w:val="00F025EC"/>
    <w:rsid w:val="00F02FB7"/>
    <w:rsid w:val="00F033CC"/>
    <w:rsid w:val="00F04918"/>
    <w:rsid w:val="00F056A8"/>
    <w:rsid w:val="00F06A17"/>
    <w:rsid w:val="00F073DB"/>
    <w:rsid w:val="00F07401"/>
    <w:rsid w:val="00F075D3"/>
    <w:rsid w:val="00F12233"/>
    <w:rsid w:val="00F13E96"/>
    <w:rsid w:val="00F14730"/>
    <w:rsid w:val="00F15ED4"/>
    <w:rsid w:val="00F16B69"/>
    <w:rsid w:val="00F23194"/>
    <w:rsid w:val="00F2412C"/>
    <w:rsid w:val="00F25702"/>
    <w:rsid w:val="00F30812"/>
    <w:rsid w:val="00F31B58"/>
    <w:rsid w:val="00F47926"/>
    <w:rsid w:val="00F536EF"/>
    <w:rsid w:val="00F55E15"/>
    <w:rsid w:val="00F64BF0"/>
    <w:rsid w:val="00F64EE3"/>
    <w:rsid w:val="00F65B07"/>
    <w:rsid w:val="00F66EA3"/>
    <w:rsid w:val="00F73DD7"/>
    <w:rsid w:val="00F7616E"/>
    <w:rsid w:val="00F76EDA"/>
    <w:rsid w:val="00F772F4"/>
    <w:rsid w:val="00F84704"/>
    <w:rsid w:val="00F864A4"/>
    <w:rsid w:val="00F97FD7"/>
    <w:rsid w:val="00FA241A"/>
    <w:rsid w:val="00FA3239"/>
    <w:rsid w:val="00FB1941"/>
    <w:rsid w:val="00FB2C6A"/>
    <w:rsid w:val="00FB41FA"/>
    <w:rsid w:val="00FC28B4"/>
    <w:rsid w:val="00FC2AD2"/>
    <w:rsid w:val="00FC2FC1"/>
    <w:rsid w:val="00FC4B24"/>
    <w:rsid w:val="00FE1622"/>
    <w:rsid w:val="00FE43A5"/>
    <w:rsid w:val="00FE590C"/>
    <w:rsid w:val="00FF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AB0F8"/>
  <w15:docId w15:val="{42BDE453-7589-492D-BFA5-7967C91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6F2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7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ADC"/>
  </w:style>
  <w:style w:type="paragraph" w:styleId="Piedepgina">
    <w:name w:val="footer"/>
    <w:basedOn w:val="Normal"/>
    <w:link w:val="PiedepginaCar"/>
    <w:uiPriority w:val="99"/>
    <w:unhideWhenUsed/>
    <w:rsid w:val="00C50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ADC"/>
  </w:style>
  <w:style w:type="paragraph" w:styleId="Sinespaciado">
    <w:name w:val="No Spacing"/>
    <w:uiPriority w:val="1"/>
    <w:qFormat/>
    <w:rsid w:val="00A65DB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nfasis">
    <w:name w:val="Emphasis"/>
    <w:basedOn w:val="Fuentedeprrafopredeter"/>
    <w:uiPriority w:val="20"/>
    <w:qFormat/>
    <w:rsid w:val="003F502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A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8338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3381"/>
    <w:rPr>
      <w:color w:val="954F72"/>
      <w:u w:val="single"/>
    </w:rPr>
  </w:style>
  <w:style w:type="paragraph" w:customStyle="1" w:styleId="msonormal0">
    <w:name w:val="msonormal"/>
    <w:basedOn w:val="Normal"/>
    <w:rsid w:val="00E8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</w:rPr>
  </w:style>
  <w:style w:type="paragraph" w:customStyle="1" w:styleId="xl66">
    <w:name w:val="xl66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</w:rPr>
  </w:style>
  <w:style w:type="paragraph" w:customStyle="1" w:styleId="xl67">
    <w:name w:val="xl67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68">
    <w:name w:val="xl68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69">
    <w:name w:val="xl69"/>
    <w:basedOn w:val="Normal"/>
    <w:rsid w:val="00E83381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0">
    <w:name w:val="xl70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1">
    <w:name w:val="xl71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2">
    <w:name w:val="xl72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3">
    <w:name w:val="xl73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4">
    <w:name w:val="xl7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5">
    <w:name w:val="xl75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E833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E833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E833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83">
    <w:name w:val="xl83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84">
    <w:name w:val="xl84"/>
    <w:basedOn w:val="Normal"/>
    <w:rsid w:val="00E8338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85">
    <w:name w:val="xl85"/>
    <w:basedOn w:val="Normal"/>
    <w:rsid w:val="00E8338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86">
    <w:name w:val="xl86"/>
    <w:basedOn w:val="Normal"/>
    <w:rsid w:val="00E83381"/>
    <w:pP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87">
    <w:name w:val="xl87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88">
    <w:name w:val="xl88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89">
    <w:name w:val="xl89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90">
    <w:name w:val="xl90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91">
    <w:name w:val="xl91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92">
    <w:name w:val="xl92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93">
    <w:name w:val="xl93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94">
    <w:name w:val="xl9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95">
    <w:name w:val="xl95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E833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E833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E8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03">
    <w:name w:val="xl103"/>
    <w:basedOn w:val="Normal"/>
    <w:rsid w:val="00E83381"/>
    <w:pP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04">
    <w:name w:val="xl104"/>
    <w:basedOn w:val="Normal"/>
    <w:rsid w:val="00E833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05">
    <w:name w:val="xl105"/>
    <w:basedOn w:val="Normal"/>
    <w:rsid w:val="00E8338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06">
    <w:name w:val="xl106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07">
    <w:name w:val="xl107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08">
    <w:name w:val="xl108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09">
    <w:name w:val="xl109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10">
    <w:name w:val="xl110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11">
    <w:name w:val="xl111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12">
    <w:name w:val="xl112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"/>
    <w:rsid w:val="00E833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E833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17">
    <w:name w:val="xl117"/>
    <w:basedOn w:val="Normal"/>
    <w:rsid w:val="00E833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18">
    <w:name w:val="xl118"/>
    <w:basedOn w:val="Normal"/>
    <w:rsid w:val="00E833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19">
    <w:name w:val="xl119"/>
    <w:basedOn w:val="Normal"/>
    <w:rsid w:val="00E833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20">
    <w:name w:val="xl120"/>
    <w:basedOn w:val="Normal"/>
    <w:rsid w:val="00E833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21">
    <w:name w:val="xl121"/>
    <w:basedOn w:val="Normal"/>
    <w:rsid w:val="00E8338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22">
    <w:name w:val="xl122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3">
    <w:name w:val="xl123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4">
    <w:name w:val="xl12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5">
    <w:name w:val="xl125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27">
    <w:name w:val="xl127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28">
    <w:name w:val="xl128"/>
    <w:basedOn w:val="Normal"/>
    <w:rsid w:val="00E833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29">
    <w:name w:val="xl129"/>
    <w:basedOn w:val="Normal"/>
    <w:rsid w:val="00E833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0">
    <w:name w:val="xl130"/>
    <w:basedOn w:val="Normal"/>
    <w:rsid w:val="00E8338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1">
    <w:name w:val="xl131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3">
    <w:name w:val="xl133"/>
    <w:basedOn w:val="Normal"/>
    <w:rsid w:val="00E8338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34">
    <w:name w:val="xl134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35">
    <w:name w:val="xl135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36">
    <w:name w:val="xl136"/>
    <w:basedOn w:val="Normal"/>
    <w:rsid w:val="00E8338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7">
    <w:name w:val="xl137"/>
    <w:basedOn w:val="Normal"/>
    <w:rsid w:val="00E83381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8">
    <w:name w:val="xl138"/>
    <w:basedOn w:val="Normal"/>
    <w:rsid w:val="00E83381"/>
    <w:pPr>
      <w:shd w:val="clear" w:color="000000" w:fill="00B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39">
    <w:name w:val="xl139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Normal"/>
    <w:rsid w:val="00E83381"/>
    <w:pPr>
      <w:shd w:val="clear" w:color="000000" w:fill="92D050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42">
    <w:name w:val="xl142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E833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47">
    <w:name w:val="xl147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48">
    <w:name w:val="xl148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49">
    <w:name w:val="xl149"/>
    <w:basedOn w:val="Normal"/>
    <w:rsid w:val="00E83381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50">
    <w:name w:val="xl150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51">
    <w:name w:val="xl151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52">
    <w:name w:val="xl152"/>
    <w:basedOn w:val="Normal"/>
    <w:rsid w:val="00E83381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53">
    <w:name w:val="xl153"/>
    <w:basedOn w:val="Normal"/>
    <w:rsid w:val="00E83381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54">
    <w:name w:val="xl154"/>
    <w:basedOn w:val="Normal"/>
    <w:rsid w:val="00E83381"/>
    <w:pP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155">
    <w:name w:val="xl155"/>
    <w:basedOn w:val="Normal"/>
    <w:rsid w:val="00E83381"/>
    <w:pP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56">
    <w:name w:val="xl156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57">
    <w:name w:val="xl157"/>
    <w:basedOn w:val="Normal"/>
    <w:rsid w:val="00E83381"/>
    <w:pPr>
      <w:pBdr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158">
    <w:name w:val="xl158"/>
    <w:basedOn w:val="Normal"/>
    <w:rsid w:val="00E83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al"/>
    <w:rsid w:val="00E83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60">
    <w:name w:val="xl160"/>
    <w:basedOn w:val="Normal"/>
    <w:rsid w:val="00E83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Normal"/>
    <w:rsid w:val="00E83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al"/>
    <w:rsid w:val="00E83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Normal"/>
    <w:rsid w:val="00E83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5">
    <w:name w:val="xl165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6">
    <w:name w:val="xl166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7">
    <w:name w:val="xl167"/>
    <w:basedOn w:val="Normal"/>
    <w:rsid w:val="00E833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8">
    <w:name w:val="xl168"/>
    <w:basedOn w:val="Normal"/>
    <w:rsid w:val="00E833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69">
    <w:name w:val="xl169"/>
    <w:basedOn w:val="Normal"/>
    <w:rsid w:val="00E83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0">
    <w:name w:val="xl170"/>
    <w:basedOn w:val="Normal"/>
    <w:rsid w:val="00E833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1">
    <w:name w:val="xl171"/>
    <w:basedOn w:val="Normal"/>
    <w:rsid w:val="00E833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2">
    <w:name w:val="xl172"/>
    <w:basedOn w:val="Normal"/>
    <w:rsid w:val="00E833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73">
    <w:name w:val="xl173"/>
    <w:basedOn w:val="Normal"/>
    <w:rsid w:val="00E833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496B-D0A6-4A3D-A968-47C8FE22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Dionisia Vizcaino</dc:creator>
  <cp:lastModifiedBy>Itsupport</cp:lastModifiedBy>
  <cp:revision>14</cp:revision>
  <cp:lastPrinted>2025-01-22T14:11:00Z</cp:lastPrinted>
  <dcterms:created xsi:type="dcterms:W3CDTF">2024-01-25T12:43:00Z</dcterms:created>
  <dcterms:modified xsi:type="dcterms:W3CDTF">2025-01-22T14:23:00Z</dcterms:modified>
</cp:coreProperties>
</file>